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156082" w:themeColor="accent1"/>
          <w:sz w:val="24"/>
          <w:szCs w:val="24"/>
          <w:lang w:val="bs-Latn-BA" w:eastAsia="en-GB"/>
        </w:rPr>
        <w:id w:val="424532791"/>
        <w:docPartObj>
          <w:docPartGallery w:val="Cover Pages"/>
          <w:docPartUnique/>
        </w:docPartObj>
      </w:sdtPr>
      <w:sdtEndPr>
        <w:rPr>
          <w:color w:val="auto"/>
        </w:rPr>
      </w:sdtEndPr>
      <w:sdtContent>
        <w:p w14:paraId="2F928338" w14:textId="4ED6ABCC" w:rsidR="00321986" w:rsidRDefault="00321986">
          <w:pPr>
            <w:pStyle w:val="NoSpacing"/>
            <w:spacing w:before="1540" w:after="240"/>
            <w:jc w:val="center"/>
            <w:rPr>
              <w:color w:val="156082" w:themeColor="accent1"/>
            </w:rPr>
          </w:pPr>
        </w:p>
        <w:sdt>
          <w:sdtPr>
            <w:rPr>
              <w:rFonts w:ascii="Times New Roman" w:hAnsi="Times New Roman" w:cs="Times New Roman"/>
              <w:b/>
              <w:bCs/>
              <w:sz w:val="72"/>
              <w:szCs w:val="72"/>
            </w:rPr>
            <w:alias w:val="Title"/>
            <w:tag w:val=""/>
            <w:id w:val="1735040861"/>
            <w:placeholder>
              <w:docPart w:val="3B65E2F220C44BFBAF4DDF84CBE17A14"/>
            </w:placeholder>
            <w:dataBinding w:prefixMappings="xmlns:ns0='http://purl.org/dc/elements/1.1/' xmlns:ns1='http://schemas.openxmlformats.org/package/2006/metadata/core-properties' " w:xpath="/ns1:coreProperties[1]/ns0:title[1]" w:storeItemID="{6C3C8BC8-F283-45AE-878A-BAB7291924A1}"/>
            <w:text/>
          </w:sdtPr>
          <w:sdtContent>
            <w:p w14:paraId="22C0BBB6" w14:textId="6F10181F" w:rsidR="00321986" w:rsidRPr="00321986" w:rsidRDefault="00321986">
              <w:pPr>
                <w:pStyle w:val="NoSpacing"/>
                <w:pBdr>
                  <w:top w:val="single" w:sz="6" w:space="6" w:color="156082" w:themeColor="accent1"/>
                  <w:bottom w:val="single" w:sz="6" w:space="6" w:color="156082" w:themeColor="accent1"/>
                </w:pBdr>
                <w:spacing w:after="240"/>
                <w:jc w:val="center"/>
                <w:rPr>
                  <w:rFonts w:ascii="Times New Roman" w:eastAsiaTheme="majorEastAsia" w:hAnsi="Times New Roman" w:cs="Times New Roman"/>
                  <w:caps/>
                  <w:color w:val="156082" w:themeColor="accent1"/>
                  <w:sz w:val="72"/>
                  <w:szCs w:val="72"/>
                </w:rPr>
              </w:pPr>
              <w:r w:rsidRPr="00321986">
                <w:rPr>
                  <w:rFonts w:ascii="Times New Roman" w:hAnsi="Times New Roman" w:cs="Times New Roman"/>
                  <w:b/>
                  <w:bCs/>
                  <w:sz w:val="72"/>
                  <w:szCs w:val="72"/>
                </w:rPr>
                <w:t>UPUTSTVO ZA PRAĆENJE PROVEDBE PROJEKATA I EVALUACIJU</w:t>
              </w:r>
            </w:p>
          </w:sdtContent>
        </w:sdt>
        <w:p w14:paraId="56EDE9B7" w14:textId="0A1AE919" w:rsidR="00321986" w:rsidRDefault="00321986">
          <w:pPr>
            <w:pStyle w:val="NoSpacing"/>
            <w:jc w:val="center"/>
            <w:rPr>
              <w:color w:val="156082" w:themeColor="accent1"/>
              <w:sz w:val="28"/>
              <w:szCs w:val="28"/>
            </w:rPr>
          </w:pPr>
        </w:p>
        <w:p w14:paraId="002BFEF4" w14:textId="6DDE00B6" w:rsidR="00321986" w:rsidRDefault="00321986">
          <w:pPr>
            <w:pStyle w:val="NoSpacing"/>
            <w:spacing w:before="480"/>
            <w:jc w:val="center"/>
            <w:rPr>
              <w:color w:val="156082" w:themeColor="accent1"/>
            </w:rPr>
          </w:pPr>
        </w:p>
        <w:p w14:paraId="5872B714" w14:textId="398EA028" w:rsidR="00321986" w:rsidRDefault="00321986">
          <w:pPr>
            <w:spacing w:after="160" w:line="278" w:lineRule="auto"/>
          </w:pPr>
          <w:r>
            <w:br w:type="page"/>
          </w:r>
        </w:p>
      </w:sdtContent>
    </w:sdt>
    <w:p w14:paraId="1F71170E" w14:textId="76D80633" w:rsidR="00EB65B2" w:rsidRPr="005117A6" w:rsidRDefault="00EB65B2" w:rsidP="005B4842">
      <w:pPr>
        <w:jc w:val="center"/>
      </w:pPr>
      <w:r w:rsidRPr="005117A6">
        <w:lastRenderedPageBreak/>
        <w:fldChar w:fldCharType="begin">
          <w:ffData>
            <w:name w:val="Text3"/>
            <w:enabled/>
            <w:calcOnExit w:val="0"/>
            <w:textInput>
              <w:default w:val="[GRB]"/>
            </w:textInput>
          </w:ffData>
        </w:fldChar>
      </w:r>
      <w:r w:rsidRPr="005117A6">
        <w:instrText xml:space="preserve"> FORMTEXT </w:instrText>
      </w:r>
      <w:r w:rsidRPr="005117A6">
        <w:fldChar w:fldCharType="separate"/>
      </w:r>
      <w:r w:rsidRPr="005117A6">
        <w:rPr>
          <w:noProof/>
        </w:rPr>
        <w:t>[GRB]</w:t>
      </w:r>
      <w:r w:rsidRPr="005117A6">
        <w:fldChar w:fldCharType="end"/>
      </w:r>
    </w:p>
    <w:p w14:paraId="508E3C2B" w14:textId="77777777" w:rsidR="00EB65B2" w:rsidRPr="005117A6" w:rsidRDefault="00EB65B2" w:rsidP="005B4842">
      <w:pPr>
        <w:jc w:val="center"/>
      </w:pPr>
      <w:r w:rsidRPr="005117A6">
        <w:t>Bosna i Hercegovina</w:t>
      </w:r>
    </w:p>
    <w:p w14:paraId="7BA70D6B" w14:textId="77777777" w:rsidR="00EB65B2" w:rsidRPr="005117A6" w:rsidRDefault="00EB65B2" w:rsidP="005B4842">
      <w:pPr>
        <w:jc w:val="center"/>
      </w:pPr>
      <w:r w:rsidRPr="005117A6">
        <w:t>Federacija Bosne i Hercegovine</w:t>
      </w:r>
    </w:p>
    <w:p w14:paraId="52BAACDE" w14:textId="77777777" w:rsidR="00EB65B2" w:rsidRPr="005117A6" w:rsidRDefault="00EB65B2" w:rsidP="005B4842">
      <w:pPr>
        <w:jc w:val="center"/>
      </w:pPr>
      <w:r w:rsidRPr="005117A6">
        <w:fldChar w:fldCharType="begin">
          <w:ffData>
            <w:name w:val="Text1"/>
            <w:enabled/>
            <w:calcOnExit w:val="0"/>
            <w:textInput>
              <w:default w:val="[naziv Kantona]"/>
            </w:textInput>
          </w:ffData>
        </w:fldChar>
      </w:r>
      <w:r w:rsidRPr="005117A6">
        <w:instrText xml:space="preserve"> FORMTEXT </w:instrText>
      </w:r>
      <w:r w:rsidRPr="005117A6">
        <w:fldChar w:fldCharType="separate"/>
      </w:r>
      <w:r w:rsidRPr="005117A6">
        <w:rPr>
          <w:noProof/>
        </w:rPr>
        <w:t>[naziv Kantona]</w:t>
      </w:r>
      <w:r w:rsidRPr="005117A6">
        <w:fldChar w:fldCharType="end"/>
      </w:r>
    </w:p>
    <w:p w14:paraId="5E86A92C" w14:textId="77777777" w:rsidR="00EB65B2" w:rsidRPr="005117A6" w:rsidRDefault="00EB65B2" w:rsidP="005B4842">
      <w:pPr>
        <w:jc w:val="center"/>
      </w:pPr>
      <w:r w:rsidRPr="005117A6">
        <w:fldChar w:fldCharType="begin">
          <w:ffData>
            <w:name w:val="Text2"/>
            <w:enabled/>
            <w:calcOnExit w:val="0"/>
            <w:textInput>
              <w:default w:val="[naziv JLS]"/>
            </w:textInput>
          </w:ffData>
        </w:fldChar>
      </w:r>
      <w:r w:rsidRPr="005117A6">
        <w:instrText xml:space="preserve"> FORMTEXT </w:instrText>
      </w:r>
      <w:r w:rsidRPr="005117A6">
        <w:fldChar w:fldCharType="separate"/>
      </w:r>
      <w:r w:rsidRPr="005117A6">
        <w:rPr>
          <w:noProof/>
        </w:rPr>
        <w:t>[naziv JLS]</w:t>
      </w:r>
      <w:r w:rsidRPr="005117A6">
        <w:fldChar w:fldCharType="end"/>
      </w:r>
    </w:p>
    <w:p w14:paraId="6F14E5BB" w14:textId="77777777" w:rsidR="00EB65B2" w:rsidRPr="005117A6" w:rsidRDefault="00EB65B2" w:rsidP="00321986">
      <w:pPr>
        <w:pBdr>
          <w:top w:val="single" w:sz="4" w:space="1" w:color="auto"/>
        </w:pBdr>
      </w:pPr>
      <w:r w:rsidRPr="005117A6">
        <w:t>Broj:</w:t>
      </w:r>
    </w:p>
    <w:p w14:paraId="0FBE3497" w14:textId="77777777" w:rsidR="00EB65B2" w:rsidRPr="005117A6" w:rsidRDefault="00EB65B2" w:rsidP="00321986">
      <w:r w:rsidRPr="005117A6">
        <w:fldChar w:fldCharType="begin">
          <w:ffData>
            <w:name w:val="Text18"/>
            <w:enabled/>
            <w:calcOnExit w:val="0"/>
            <w:textInput>
              <w:default w:val="[mjesto]"/>
            </w:textInput>
          </w:ffData>
        </w:fldChar>
      </w:r>
      <w:r w:rsidRPr="005117A6">
        <w:instrText xml:space="preserve"> FORMTEXT </w:instrText>
      </w:r>
      <w:r w:rsidRPr="005117A6">
        <w:fldChar w:fldCharType="separate"/>
      </w:r>
      <w:r w:rsidRPr="005117A6">
        <w:rPr>
          <w:noProof/>
        </w:rPr>
        <w:t>[mjesto]</w:t>
      </w:r>
      <w:r w:rsidRPr="005117A6">
        <w:fldChar w:fldCharType="end"/>
      </w:r>
      <w:r w:rsidRPr="005117A6">
        <w:t>,</w:t>
      </w:r>
      <w:r w:rsidRPr="005117A6">
        <w:fldChar w:fldCharType="begin">
          <w:ffData>
            <w:name w:val="Text19"/>
            <w:enabled/>
            <w:calcOnExit w:val="0"/>
            <w:textInput>
              <w:default w:val="[datum]"/>
            </w:textInput>
          </w:ffData>
        </w:fldChar>
      </w:r>
      <w:r w:rsidRPr="005117A6">
        <w:instrText xml:space="preserve"> FORMTEXT </w:instrText>
      </w:r>
      <w:r w:rsidRPr="005117A6">
        <w:fldChar w:fldCharType="separate"/>
      </w:r>
      <w:r w:rsidRPr="005117A6">
        <w:rPr>
          <w:noProof/>
        </w:rPr>
        <w:t>[datum]</w:t>
      </w:r>
      <w:r w:rsidRPr="005117A6">
        <w:fldChar w:fldCharType="end"/>
      </w:r>
    </w:p>
    <w:p w14:paraId="0EF44FDD" w14:textId="77777777" w:rsidR="00EB65B2" w:rsidRPr="005117A6" w:rsidRDefault="00EB65B2" w:rsidP="005B4842">
      <w:pPr>
        <w:jc w:val="center"/>
      </w:pPr>
    </w:p>
    <w:p w14:paraId="4DA87DF1" w14:textId="4B811905" w:rsidR="00EB65B2" w:rsidRPr="005117A6" w:rsidRDefault="005B4842" w:rsidP="005B4842">
      <w:r>
        <w:fldChar w:fldCharType="begin">
          <w:ffData>
            <w:name w:val="Text16"/>
            <w:enabled/>
            <w:calcOnExit w:val="0"/>
            <w:textInput>
              <w:default w:val="[Pravni osnov za donošenje rješenja ]"/>
            </w:textInput>
          </w:ffData>
        </w:fldChar>
      </w:r>
      <w:bookmarkStart w:id="0" w:name="Text16"/>
      <w:r>
        <w:instrText xml:space="preserve"> FORMTEXT </w:instrText>
      </w:r>
      <w:r>
        <w:fldChar w:fldCharType="separate"/>
      </w:r>
      <w:r>
        <w:rPr>
          <w:noProof/>
        </w:rPr>
        <w:t>[Pravni osnov za donošenje rješenja ]</w:t>
      </w:r>
      <w:r>
        <w:fldChar w:fldCharType="end"/>
      </w:r>
      <w:bookmarkEnd w:id="0"/>
    </w:p>
    <w:p w14:paraId="53F46A48" w14:textId="77777777" w:rsidR="00EB65B2" w:rsidRPr="005117A6" w:rsidRDefault="00EB65B2" w:rsidP="005B4842">
      <w:pPr>
        <w:jc w:val="center"/>
      </w:pPr>
    </w:p>
    <w:p w14:paraId="629E1CED" w14:textId="77777777" w:rsidR="00EB65B2" w:rsidRPr="005117A6" w:rsidRDefault="00EB65B2" w:rsidP="005B4842">
      <w:pPr>
        <w:jc w:val="center"/>
        <w:rPr>
          <w:b/>
          <w:bCs/>
        </w:rPr>
      </w:pPr>
    </w:p>
    <w:p w14:paraId="66C8A8F4" w14:textId="77777777" w:rsidR="00EB65B2" w:rsidRPr="005117A6" w:rsidRDefault="00EB65B2" w:rsidP="005B4842">
      <w:pPr>
        <w:jc w:val="center"/>
        <w:rPr>
          <w:b/>
          <w:bCs/>
        </w:rPr>
      </w:pPr>
      <w:r w:rsidRPr="005117A6">
        <w:rPr>
          <w:b/>
          <w:bCs/>
        </w:rPr>
        <w:t>UPUTSTVO ZA PRAĆENJE PROVEDBE PROJEKATA I EVALUACIJU</w:t>
      </w:r>
    </w:p>
    <w:p w14:paraId="3B069852" w14:textId="77777777" w:rsidR="00EB65B2" w:rsidRPr="005117A6" w:rsidRDefault="00EB65B2" w:rsidP="005B4842">
      <w:pPr>
        <w:jc w:val="both"/>
        <w:rPr>
          <w:b/>
          <w:bCs/>
        </w:rPr>
      </w:pPr>
    </w:p>
    <w:p w14:paraId="070E490D" w14:textId="77777777" w:rsidR="00EB65B2" w:rsidRPr="005117A6" w:rsidRDefault="00EB65B2" w:rsidP="005B4842">
      <w:pPr>
        <w:jc w:val="both"/>
        <w:rPr>
          <w:b/>
          <w:bCs/>
        </w:rPr>
      </w:pPr>
    </w:p>
    <w:p w14:paraId="4A15213C" w14:textId="77777777" w:rsidR="00EB65B2" w:rsidRPr="004F2802" w:rsidRDefault="00EB65B2" w:rsidP="005B4842">
      <w:pPr>
        <w:spacing w:after="160" w:line="278" w:lineRule="auto"/>
        <w:jc w:val="both"/>
        <w:rPr>
          <w:b/>
          <w:bCs/>
        </w:rPr>
      </w:pPr>
      <w:r w:rsidRPr="004F2802">
        <w:rPr>
          <w:b/>
          <w:bCs/>
        </w:rPr>
        <w:t>I. UVOD</w:t>
      </w:r>
    </w:p>
    <w:p w14:paraId="27A8C667" w14:textId="074470EE" w:rsidR="00EB65B2" w:rsidRPr="004F2802" w:rsidRDefault="00EB65B2" w:rsidP="005B4842">
      <w:pPr>
        <w:spacing w:after="160" w:line="278" w:lineRule="auto"/>
        <w:jc w:val="both"/>
      </w:pPr>
      <w:r w:rsidRPr="004F2802">
        <w:t xml:space="preserve">Ovim Uputstvom uspostavlja se jedinstven okvir za praćenje provedbe </w:t>
      </w:r>
      <w:r w:rsidRPr="005117A6">
        <w:t xml:space="preserve">i evaluaciju </w:t>
      </w:r>
      <w:r w:rsidRPr="004F2802">
        <w:t xml:space="preserve">projekata i programa </w:t>
      </w:r>
      <w:r w:rsidRPr="005117A6">
        <w:t xml:space="preserve"> </w:t>
      </w:r>
      <w:r w:rsidRPr="004F2802">
        <w:t xml:space="preserve">koji se finansiraju ili sufinansiraju iz budžeta </w:t>
      </w:r>
      <w:r w:rsidRPr="005117A6">
        <w:fldChar w:fldCharType="begin">
          <w:ffData>
            <w:name w:val="Text2"/>
            <w:enabled/>
            <w:calcOnExit w:val="0"/>
            <w:textInput>
              <w:default w:val="[naziv JLS]"/>
            </w:textInput>
          </w:ffData>
        </w:fldChar>
      </w:r>
      <w:r w:rsidRPr="005117A6">
        <w:instrText xml:space="preserve"> FORMTEXT </w:instrText>
      </w:r>
      <w:r w:rsidRPr="005117A6">
        <w:fldChar w:fldCharType="separate"/>
      </w:r>
      <w:r w:rsidRPr="005117A6">
        <w:rPr>
          <w:noProof/>
        </w:rPr>
        <w:t>[naziv JLS]</w:t>
      </w:r>
      <w:r w:rsidRPr="005117A6">
        <w:fldChar w:fldCharType="end"/>
      </w:r>
      <w:r w:rsidR="005B4842">
        <w:t>, i to za</w:t>
      </w:r>
      <w:r w:rsidR="005B4842" w:rsidRPr="005B4842">
        <w:t>: neprofitne organizacije, javne ustanove, privredn</w:t>
      </w:r>
      <w:r w:rsidR="00270470" w:rsidRPr="003067A3">
        <w:t>e</w:t>
      </w:r>
      <w:r w:rsidR="005B4842" w:rsidRPr="005B4842">
        <w:t xml:space="preserve"> subjekt</w:t>
      </w:r>
      <w:r w:rsidR="00270470" w:rsidRPr="003067A3">
        <w:t>e</w:t>
      </w:r>
      <w:r w:rsidR="005B4842" w:rsidRPr="003067A3">
        <w:t xml:space="preserve"> </w:t>
      </w:r>
      <w:r w:rsidR="005B4842" w:rsidRPr="005B4842">
        <w:t>i druga pravna lica, u zavisnosti od oblasti javnog poziva</w:t>
      </w:r>
      <w:r w:rsidR="00270470">
        <w:t>.</w:t>
      </w:r>
    </w:p>
    <w:p w14:paraId="10D01B76" w14:textId="77777777" w:rsidR="00EB65B2" w:rsidRDefault="00EB65B2" w:rsidP="005B4842">
      <w:pPr>
        <w:jc w:val="both"/>
      </w:pPr>
      <w:r w:rsidRPr="005117A6">
        <w:t>Praćenje i evaluacija provode se radi osiguranja zakonitog, namjenskog, ekonomičnog, efikasnog i transparentnog korištenja budžetskih sredstava, kao i radi verifikacije ostvarenja planiranih ciljeva, indikatora i rezultata projekata.</w:t>
      </w:r>
    </w:p>
    <w:p w14:paraId="63283AAA" w14:textId="77777777" w:rsidR="00806CF6" w:rsidRDefault="00806CF6" w:rsidP="005B4842">
      <w:pPr>
        <w:jc w:val="both"/>
      </w:pPr>
    </w:p>
    <w:p w14:paraId="1ABA40A2" w14:textId="77777777" w:rsidR="00EB65B2" w:rsidRDefault="00EB65B2" w:rsidP="005B4842">
      <w:pPr>
        <w:spacing w:line="278" w:lineRule="auto"/>
        <w:jc w:val="both"/>
      </w:pPr>
      <w:r w:rsidRPr="004F2802">
        <w:t>Uputstvo je usklađeno sa Federalnim smjernicama o minimalnim standardima dodjele budžetskih sredstava putem transfera i subvencija („Službene novine FBiH“, br. 37/24).</w:t>
      </w:r>
    </w:p>
    <w:p w14:paraId="2AC9ACA1" w14:textId="77777777" w:rsidR="00806CF6" w:rsidRPr="004F2802" w:rsidRDefault="00806CF6" w:rsidP="005B4842">
      <w:pPr>
        <w:spacing w:line="278" w:lineRule="auto"/>
        <w:jc w:val="both"/>
      </w:pPr>
    </w:p>
    <w:p w14:paraId="764E3441" w14:textId="1F3FC105" w:rsidR="00EB65B2" w:rsidRPr="004F2802" w:rsidRDefault="00EB65B2" w:rsidP="005B4842">
      <w:pPr>
        <w:spacing w:after="160" w:line="278" w:lineRule="auto"/>
        <w:jc w:val="both"/>
        <w:rPr>
          <w:b/>
          <w:bCs/>
        </w:rPr>
      </w:pPr>
      <w:r w:rsidRPr="004F2802">
        <w:rPr>
          <w:b/>
          <w:bCs/>
        </w:rPr>
        <w:t>II. ORGANIZACIJA I NADLEŽNOSTI</w:t>
      </w:r>
      <w:r w:rsidR="00DE3E05">
        <w:rPr>
          <w:rStyle w:val="FootnoteReference"/>
          <w:b/>
          <w:bCs/>
        </w:rPr>
        <w:footnoteReference w:id="2"/>
      </w:r>
    </w:p>
    <w:p w14:paraId="3137A4AA" w14:textId="433A4F64" w:rsidR="00EB65B2" w:rsidRDefault="00EB65B2" w:rsidP="005B4842">
      <w:pPr>
        <w:spacing w:after="160" w:line="278" w:lineRule="auto"/>
        <w:jc w:val="both"/>
      </w:pPr>
      <w:r w:rsidRPr="004F2802">
        <w:t xml:space="preserve">Praćenje provedbe projekata vrši </w:t>
      </w:r>
      <w:r w:rsidRPr="005117A6">
        <w:fldChar w:fldCharType="begin">
          <w:ffData>
            <w:name w:val="Text2"/>
            <w:enabled/>
            <w:calcOnExit w:val="0"/>
            <w:textInput>
              <w:default w:val="[Komisija za praćenje i evaluaciju / nadležna Služba]"/>
            </w:textInput>
          </w:ffData>
        </w:fldChar>
      </w:r>
      <w:r w:rsidRPr="005117A6">
        <w:instrText xml:space="preserve"> FORMTEXT </w:instrText>
      </w:r>
      <w:r w:rsidRPr="005117A6">
        <w:fldChar w:fldCharType="separate"/>
      </w:r>
      <w:r w:rsidRPr="005117A6">
        <w:rPr>
          <w:noProof/>
        </w:rPr>
        <w:t>[Komisija za praćenje i evaluaciju / nadležna Služba]</w:t>
      </w:r>
      <w:r w:rsidRPr="005117A6">
        <w:fldChar w:fldCharType="end"/>
      </w:r>
      <w:r w:rsidR="00321986">
        <w:rPr>
          <w:rStyle w:val="FootnoteReference"/>
        </w:rPr>
        <w:footnoteReference w:id="3"/>
      </w:r>
      <w:r w:rsidRPr="005117A6">
        <w:t xml:space="preserve"> </w:t>
      </w:r>
      <w:r w:rsidRPr="004F2802">
        <w:t>(u daljem tekstu: Tijelo za praćenje), koje ne može uključivati lica koja su učestvovala u postupku dodjele sredstava.</w:t>
      </w:r>
    </w:p>
    <w:p w14:paraId="3EB4DBC2" w14:textId="77777777" w:rsidR="00EB65B2" w:rsidRPr="005117A6" w:rsidRDefault="00EB65B2" w:rsidP="005B4842">
      <w:pPr>
        <w:jc w:val="both"/>
      </w:pPr>
      <w:r w:rsidRPr="004F2802">
        <w:t>Tijelo za praćenje je nadležno za operativno provođenje monitoringa, uključujući</w:t>
      </w:r>
      <w:r w:rsidRPr="005117A6">
        <w:t>:</w:t>
      </w:r>
    </w:p>
    <w:p w14:paraId="3B5F7EB0" w14:textId="77777777" w:rsidR="00EB65B2" w:rsidRPr="005117A6" w:rsidRDefault="00EB65B2" w:rsidP="005B4842">
      <w:pPr>
        <w:pStyle w:val="ListParagraph"/>
        <w:numPr>
          <w:ilvl w:val="0"/>
          <w:numId w:val="26"/>
        </w:numPr>
        <w:jc w:val="both"/>
      </w:pPr>
      <w:r w:rsidRPr="005117A6">
        <w:t xml:space="preserve">izradu kriterija rizičnosti, </w:t>
      </w:r>
    </w:p>
    <w:p w14:paraId="598BFE47" w14:textId="24ECC49E" w:rsidR="00EB65B2" w:rsidRDefault="00EB65B2" w:rsidP="005B4842">
      <w:pPr>
        <w:pStyle w:val="ListParagraph"/>
        <w:numPr>
          <w:ilvl w:val="0"/>
          <w:numId w:val="26"/>
        </w:numPr>
        <w:jc w:val="both"/>
      </w:pPr>
      <w:r w:rsidRPr="005117A6">
        <w:t xml:space="preserve">izradu godišnjeg plana praćenja i terenskih </w:t>
      </w:r>
      <w:r w:rsidR="007049AA">
        <w:t>kontrola</w:t>
      </w:r>
      <w:r w:rsidRPr="005117A6">
        <w:t xml:space="preserve">, </w:t>
      </w:r>
    </w:p>
    <w:p w14:paraId="6AA6C98D" w14:textId="77777777" w:rsidR="00EB65B2" w:rsidRPr="005117A6" w:rsidRDefault="00EB65B2" w:rsidP="005B4842">
      <w:pPr>
        <w:pStyle w:val="ListParagraph"/>
        <w:numPr>
          <w:ilvl w:val="0"/>
          <w:numId w:val="26"/>
        </w:numPr>
        <w:jc w:val="both"/>
      </w:pPr>
      <w:r w:rsidRPr="005117A6">
        <w:t xml:space="preserve">analizu programskih i finansijskih izvještaja, </w:t>
      </w:r>
    </w:p>
    <w:p w14:paraId="1B8F054F" w14:textId="0BAEBFBA" w:rsidR="00EB65B2" w:rsidRPr="005117A6" w:rsidRDefault="00EB65B2" w:rsidP="005B4842">
      <w:pPr>
        <w:pStyle w:val="ListParagraph"/>
        <w:numPr>
          <w:ilvl w:val="0"/>
          <w:numId w:val="26"/>
        </w:numPr>
        <w:jc w:val="both"/>
      </w:pPr>
      <w:r w:rsidRPr="005117A6">
        <w:t xml:space="preserve">provođenje terenskih </w:t>
      </w:r>
      <w:r w:rsidR="007049AA">
        <w:t>kontrola</w:t>
      </w:r>
      <w:r w:rsidRPr="005117A6">
        <w:t xml:space="preserve">, </w:t>
      </w:r>
    </w:p>
    <w:p w14:paraId="58CB6E6E" w14:textId="77777777" w:rsidR="00EB65B2" w:rsidRPr="005117A6" w:rsidRDefault="00EB65B2" w:rsidP="005B4842">
      <w:pPr>
        <w:pStyle w:val="ListParagraph"/>
        <w:numPr>
          <w:ilvl w:val="0"/>
          <w:numId w:val="26"/>
        </w:numPr>
        <w:jc w:val="both"/>
      </w:pPr>
      <w:r w:rsidRPr="005117A6">
        <w:t xml:space="preserve">procjenu usklađenosti sa ugovorom, </w:t>
      </w:r>
    </w:p>
    <w:p w14:paraId="0F585DC9" w14:textId="77777777" w:rsidR="00EB65B2" w:rsidRPr="005117A6" w:rsidRDefault="00EB65B2" w:rsidP="005B4842">
      <w:pPr>
        <w:pStyle w:val="ListParagraph"/>
        <w:numPr>
          <w:ilvl w:val="0"/>
          <w:numId w:val="26"/>
        </w:numPr>
        <w:jc w:val="both"/>
      </w:pPr>
      <w:r w:rsidRPr="005117A6">
        <w:t>identifikaciju rizika i odstupanja,</w:t>
      </w:r>
    </w:p>
    <w:p w14:paraId="4C12AA1B" w14:textId="77777777" w:rsidR="00EB65B2" w:rsidRPr="005117A6" w:rsidRDefault="00EB65B2" w:rsidP="005B4842">
      <w:pPr>
        <w:pStyle w:val="ListParagraph"/>
        <w:numPr>
          <w:ilvl w:val="0"/>
          <w:numId w:val="26"/>
        </w:numPr>
        <w:jc w:val="both"/>
      </w:pPr>
      <w:r w:rsidRPr="005117A6">
        <w:t xml:space="preserve">predlaganje korektivnih mjera, </w:t>
      </w:r>
    </w:p>
    <w:p w14:paraId="0314AF98" w14:textId="77777777" w:rsidR="00EB65B2" w:rsidRPr="005117A6" w:rsidRDefault="00EB65B2" w:rsidP="005B4842">
      <w:pPr>
        <w:pStyle w:val="ListParagraph"/>
        <w:numPr>
          <w:ilvl w:val="0"/>
          <w:numId w:val="26"/>
        </w:numPr>
        <w:jc w:val="both"/>
      </w:pPr>
      <w:r w:rsidRPr="005117A6">
        <w:t xml:space="preserve">vođenje kontrolnog dosjea,  </w:t>
      </w:r>
    </w:p>
    <w:p w14:paraId="4BA10F45" w14:textId="77777777" w:rsidR="00EB65B2" w:rsidRPr="005117A6" w:rsidRDefault="00EB65B2" w:rsidP="005B4842">
      <w:pPr>
        <w:pStyle w:val="ListParagraph"/>
        <w:numPr>
          <w:ilvl w:val="0"/>
          <w:numId w:val="26"/>
        </w:numPr>
        <w:jc w:val="both"/>
      </w:pPr>
      <w:r w:rsidRPr="005117A6">
        <w:t xml:space="preserve">izradu zapisnika, </w:t>
      </w:r>
    </w:p>
    <w:p w14:paraId="7CD3949E" w14:textId="77777777" w:rsidR="00EB65B2" w:rsidRPr="005117A6" w:rsidRDefault="00EB65B2" w:rsidP="005B4842">
      <w:pPr>
        <w:pStyle w:val="ListParagraph"/>
        <w:numPr>
          <w:ilvl w:val="0"/>
          <w:numId w:val="26"/>
        </w:numPr>
        <w:jc w:val="both"/>
      </w:pPr>
      <w:r w:rsidRPr="005117A6">
        <w:t xml:space="preserve">izradu izvještaja o radu  i </w:t>
      </w:r>
    </w:p>
    <w:p w14:paraId="5BF97E56" w14:textId="77777777" w:rsidR="00EB65B2" w:rsidRDefault="00EB65B2" w:rsidP="005B4842">
      <w:pPr>
        <w:pStyle w:val="ListParagraph"/>
        <w:numPr>
          <w:ilvl w:val="0"/>
          <w:numId w:val="26"/>
        </w:numPr>
        <w:jc w:val="both"/>
      </w:pPr>
      <w:r w:rsidRPr="005117A6">
        <w:t>zapisnika o evaluaciji.</w:t>
      </w:r>
    </w:p>
    <w:p w14:paraId="63961B5E" w14:textId="40509A05" w:rsidR="004E27EE" w:rsidRDefault="004E27EE" w:rsidP="00AD1F01">
      <w:pPr>
        <w:jc w:val="both"/>
      </w:pPr>
      <w:r w:rsidRPr="004E27EE">
        <w:lastRenderedPageBreak/>
        <w:t>Tijelo za praćenje ima najmanje tri člana, a može ih imati i više. Za provođenje svake pojedinačne terenske kontrole, iz reda članova Tijela formira se Tim za praćenje. Tim za svaku kontrolu sastoji se od najmanje tri člana, pri čemu najmanje jedan član posjeduje programske, a najmanje jedan (drugi) član posjeduje finansijske kompetencije.</w:t>
      </w:r>
    </w:p>
    <w:p w14:paraId="5BCA3210" w14:textId="77777777" w:rsidR="004E27EE" w:rsidRPr="005117A6" w:rsidRDefault="004E27EE" w:rsidP="00AD1F01">
      <w:pPr>
        <w:jc w:val="both"/>
      </w:pPr>
    </w:p>
    <w:p w14:paraId="3438A213" w14:textId="10BE4AC4" w:rsidR="00EB65B2" w:rsidRPr="004F2802" w:rsidRDefault="00EB65B2" w:rsidP="005B4842">
      <w:pPr>
        <w:spacing w:after="160" w:line="278" w:lineRule="auto"/>
        <w:jc w:val="both"/>
      </w:pPr>
      <w:r w:rsidRPr="004F2802">
        <w:t xml:space="preserve">Konačnu odluku o mjerama koje proizlaze iz </w:t>
      </w:r>
      <w:r w:rsidR="00806CF6">
        <w:t>zapisnika i/ili izvještaja o provedenoj te</w:t>
      </w:r>
      <w:r w:rsidR="003D33B3">
        <w:t>renskoj</w:t>
      </w:r>
      <w:r w:rsidR="00806CF6">
        <w:t xml:space="preserve"> kontroli</w:t>
      </w:r>
      <w:r w:rsidR="00806CF6" w:rsidRPr="0006581F">
        <w:t xml:space="preserve"> T</w:t>
      </w:r>
      <w:r w:rsidR="00F63ACA" w:rsidRPr="0006581F">
        <w:t>i</w:t>
      </w:r>
      <w:r w:rsidR="009B1B25" w:rsidRPr="0006581F">
        <w:t>ma</w:t>
      </w:r>
      <w:r w:rsidR="00806CF6" w:rsidRPr="0006581F">
        <w:t xml:space="preserve"> </w:t>
      </w:r>
      <w:r w:rsidR="00806CF6">
        <w:t>za praćenje</w:t>
      </w:r>
      <w:r w:rsidRPr="004F2802">
        <w:t>, uključujući odobravanje isplata, korektivne mjere i postupanje u slučaju nepravilnosti, donosi</w:t>
      </w:r>
      <w:r w:rsidRPr="005117A6">
        <w:t xml:space="preserve"> </w:t>
      </w:r>
      <w:r>
        <w:t xml:space="preserve">nadležni rukovodilac </w:t>
      </w:r>
      <w:r w:rsidRPr="005117A6">
        <w:fldChar w:fldCharType="begin">
          <w:ffData>
            <w:name w:val="Text3"/>
            <w:enabled/>
            <w:calcOnExit w:val="0"/>
            <w:textInput>
              <w:default w:val="[načelnik/gradonačelnik/nadležna služba]"/>
            </w:textInput>
          </w:ffData>
        </w:fldChar>
      </w:r>
      <w:r w:rsidRPr="005117A6">
        <w:instrText xml:space="preserve"> FORMTEXT </w:instrText>
      </w:r>
      <w:r w:rsidRPr="005117A6">
        <w:fldChar w:fldCharType="separate"/>
      </w:r>
      <w:r w:rsidRPr="005117A6">
        <w:rPr>
          <w:noProof/>
        </w:rPr>
        <w:t>[načelnik/gradonačelnik/nadležna služba]</w:t>
      </w:r>
      <w:r w:rsidRPr="005117A6">
        <w:fldChar w:fldCharType="end"/>
      </w:r>
      <w:r w:rsidRPr="004F2802">
        <w:t>.</w:t>
      </w:r>
    </w:p>
    <w:p w14:paraId="7BAE6FF7" w14:textId="77777777" w:rsidR="00EB65B2" w:rsidRPr="004F2802" w:rsidRDefault="00EB65B2" w:rsidP="005B4842">
      <w:pPr>
        <w:spacing w:after="160" w:line="278" w:lineRule="auto"/>
        <w:jc w:val="both"/>
        <w:rPr>
          <w:b/>
          <w:bCs/>
        </w:rPr>
      </w:pPr>
      <w:r w:rsidRPr="004F2802">
        <w:rPr>
          <w:b/>
          <w:bCs/>
        </w:rPr>
        <w:t>III. SISTEM PRAĆENJA PROVEDBE</w:t>
      </w:r>
    </w:p>
    <w:p w14:paraId="6E0A585B" w14:textId="77777777" w:rsidR="00EB65B2" w:rsidRPr="004F2802" w:rsidRDefault="00EB65B2" w:rsidP="005B4842">
      <w:pPr>
        <w:spacing w:after="160" w:line="278" w:lineRule="auto"/>
        <w:jc w:val="both"/>
      </w:pPr>
      <w:r w:rsidRPr="004F2802">
        <w:t>Praćenje se provodi kao kontinuiran proces kroz prethodnu, tekuću i završnu kontrolu.</w:t>
      </w:r>
    </w:p>
    <w:p w14:paraId="1DEC7E31" w14:textId="77777777" w:rsidR="00EB65B2" w:rsidRPr="004F2802" w:rsidRDefault="00EB65B2" w:rsidP="005B4842">
      <w:pPr>
        <w:spacing w:after="160" w:line="278" w:lineRule="auto"/>
        <w:jc w:val="both"/>
      </w:pPr>
      <w:r w:rsidRPr="004F2802">
        <w:t>Prethodna kontrola podrazumijeva provjeru ispunjenosti uslova za početak realizacije projekta, uključujući ugovor, plan aktivnosti, budžet i definisane indikatore.</w:t>
      </w:r>
    </w:p>
    <w:p w14:paraId="14B1DD45" w14:textId="205A162F" w:rsidR="00EB65B2" w:rsidRPr="004F2802" w:rsidRDefault="00EB65B2" w:rsidP="005B4842">
      <w:pPr>
        <w:spacing w:after="160" w:line="278" w:lineRule="auto"/>
        <w:jc w:val="both"/>
      </w:pPr>
      <w:r w:rsidRPr="004F2802">
        <w:t xml:space="preserve">Tekuće praćenje provodi se tokom realizacije kroz analizu izvještaja korisnika, komunikaciju, kontrolu dokumentacije i terenske </w:t>
      </w:r>
      <w:r w:rsidR="007049AA">
        <w:t>kontrol</w:t>
      </w:r>
      <w:r w:rsidR="003D33B3">
        <w:t>e</w:t>
      </w:r>
      <w:r w:rsidRPr="004F2802">
        <w:t>.</w:t>
      </w:r>
    </w:p>
    <w:p w14:paraId="06824DC7" w14:textId="77777777" w:rsidR="00EB65B2" w:rsidRPr="004F2802" w:rsidRDefault="00EB65B2" w:rsidP="005B4842">
      <w:pPr>
        <w:spacing w:after="160" w:line="278" w:lineRule="auto"/>
        <w:jc w:val="both"/>
      </w:pPr>
      <w:r w:rsidRPr="004F2802">
        <w:t>Završna kontrola provodi se po okončanju projekta radi potvrde ostvarenih rezultata i namjenskog utroška sredstava.</w:t>
      </w:r>
    </w:p>
    <w:p w14:paraId="4FEE7720" w14:textId="77777777" w:rsidR="00EB65B2" w:rsidRPr="004F2802" w:rsidRDefault="00EB65B2" w:rsidP="005B4842">
      <w:pPr>
        <w:spacing w:after="160" w:line="278" w:lineRule="auto"/>
        <w:jc w:val="both"/>
      </w:pPr>
      <w:r w:rsidRPr="004F2802">
        <w:t>Praćenje obuhvata</w:t>
      </w:r>
      <w:r w:rsidRPr="005117A6">
        <w:t xml:space="preserve"> opisni </w:t>
      </w:r>
      <w:r w:rsidRPr="004F2802">
        <w:t xml:space="preserve"> </w:t>
      </w:r>
      <w:r w:rsidRPr="005117A6">
        <w:t>(</w:t>
      </w:r>
      <w:r w:rsidRPr="004F2802">
        <w:t>programski</w:t>
      </w:r>
      <w:r w:rsidRPr="005117A6">
        <w:t xml:space="preserve">) </w:t>
      </w:r>
      <w:r w:rsidRPr="004F2802">
        <w:t xml:space="preserve"> i finansijski aspekt</w:t>
      </w:r>
      <w:r>
        <w:t>,</w:t>
      </w:r>
      <w:r w:rsidRPr="004F2802">
        <w:t xml:space="preserve"> te terensku kontrolu.</w:t>
      </w:r>
    </w:p>
    <w:p w14:paraId="0A5CEA6F" w14:textId="77777777" w:rsidR="00EB65B2" w:rsidRPr="004F2802" w:rsidRDefault="00EB65B2" w:rsidP="005B4842">
      <w:pPr>
        <w:spacing w:after="160" w:line="278" w:lineRule="auto"/>
        <w:jc w:val="both"/>
      </w:pPr>
      <w:r w:rsidRPr="005117A6">
        <w:t>Opisno (p</w:t>
      </w:r>
      <w:r w:rsidRPr="004F2802">
        <w:t>rogramsko</w:t>
      </w:r>
      <w:r w:rsidRPr="005117A6">
        <w:t>)</w:t>
      </w:r>
      <w:r w:rsidRPr="004F2802">
        <w:t xml:space="preserve"> praćenje odnosi se na realizaciju aktivnosti, indikatora, rezultata i rokova.</w:t>
      </w:r>
    </w:p>
    <w:p w14:paraId="299A55B4" w14:textId="77777777" w:rsidR="00EB65B2" w:rsidRPr="004F2802" w:rsidRDefault="00EB65B2" w:rsidP="005B4842">
      <w:pPr>
        <w:spacing w:after="160" w:line="278" w:lineRule="auto"/>
        <w:jc w:val="both"/>
      </w:pPr>
      <w:r w:rsidRPr="004F2802">
        <w:t>Finansijsko praćenje odnosi se na usklađenost troškova sa odobrenim budžetom, prihvatljivost troškova i vjerodostojnost finansijske dokumentacije.</w:t>
      </w:r>
    </w:p>
    <w:p w14:paraId="20D6A8C5" w14:textId="77777777" w:rsidR="00EB65B2" w:rsidRPr="004F2802" w:rsidRDefault="00EB65B2" w:rsidP="005B4842">
      <w:pPr>
        <w:spacing w:after="160" w:line="278" w:lineRule="auto"/>
        <w:jc w:val="both"/>
      </w:pPr>
      <w:r w:rsidRPr="004F2802">
        <w:t>Terenska kontrola predstavlja fizičku verifikaciju realizacije projekta i usklađenosti stvarnog stanja sa izvještajima korisnika.</w:t>
      </w:r>
    </w:p>
    <w:p w14:paraId="5D68811E" w14:textId="2A66FE5B" w:rsidR="00806CF6" w:rsidRPr="00806CF6" w:rsidRDefault="00806CF6" w:rsidP="005B4842">
      <w:pPr>
        <w:jc w:val="both"/>
      </w:pPr>
      <w:r w:rsidRPr="00806CF6">
        <w:t>Sastavni dio ovog Uputstva je Prilog 1</w:t>
      </w:r>
      <w:r w:rsidR="00EA7499">
        <w:t>.</w:t>
      </w:r>
      <w:r w:rsidRPr="00806CF6">
        <w:t xml:space="preserve"> – Procesni okvir praćenja provedbe i evaluacije projekata, kojim se preciznije definišu faze, nadležnosti, ulazi i izlazi u sistemu praćenja i evaluacij</w:t>
      </w:r>
      <w:r>
        <w:t>e.</w:t>
      </w:r>
    </w:p>
    <w:p w14:paraId="661540E4" w14:textId="77777777" w:rsidR="00EB65B2" w:rsidRPr="004F2802" w:rsidRDefault="00EB65B2" w:rsidP="005B4842">
      <w:pPr>
        <w:spacing w:after="160" w:line="278" w:lineRule="auto"/>
        <w:jc w:val="both"/>
      </w:pPr>
    </w:p>
    <w:p w14:paraId="586754ED" w14:textId="00DC3A44" w:rsidR="00EB65B2" w:rsidRPr="004F2802" w:rsidRDefault="00EB65B2" w:rsidP="005B4842">
      <w:pPr>
        <w:spacing w:after="160" w:line="278" w:lineRule="auto"/>
        <w:jc w:val="both"/>
        <w:rPr>
          <w:b/>
          <w:bCs/>
        </w:rPr>
      </w:pPr>
      <w:r w:rsidRPr="004F2802">
        <w:rPr>
          <w:b/>
          <w:bCs/>
        </w:rPr>
        <w:t>IV. PROCJENA RIZIKA I GODIŠNJI PLAN PRAĆENJA</w:t>
      </w:r>
      <w:r w:rsidRPr="005117A6">
        <w:rPr>
          <w:b/>
          <w:bCs/>
        </w:rPr>
        <w:t xml:space="preserve"> I TERENSKIH </w:t>
      </w:r>
      <w:r w:rsidR="00806CF6">
        <w:rPr>
          <w:b/>
          <w:bCs/>
        </w:rPr>
        <w:t xml:space="preserve">KONTROLA </w:t>
      </w:r>
    </w:p>
    <w:p w14:paraId="0F31E9BC" w14:textId="77777777" w:rsidR="00EB65B2" w:rsidRPr="004F2802" w:rsidRDefault="00EB65B2" w:rsidP="005B4842">
      <w:pPr>
        <w:spacing w:after="160" w:line="278" w:lineRule="auto"/>
        <w:jc w:val="both"/>
      </w:pPr>
      <w:r w:rsidRPr="004F2802">
        <w:t xml:space="preserve">Prije provođenja kontrola, Tijelo za praćenje vrši </w:t>
      </w:r>
      <w:r>
        <w:t xml:space="preserve">utvrđivanje kriterija i </w:t>
      </w:r>
      <w:r w:rsidRPr="004F2802">
        <w:t xml:space="preserve">procjenu rizika koji </w:t>
      </w:r>
      <w:r w:rsidRPr="005117A6">
        <w:t xml:space="preserve">obavezno </w:t>
      </w:r>
      <w:r w:rsidRPr="004F2802">
        <w:t xml:space="preserve">obuhvataju vrijednost </w:t>
      </w:r>
      <w:r w:rsidRPr="005117A6">
        <w:t>i</w:t>
      </w:r>
      <w:r w:rsidRPr="004F2802">
        <w:t xml:space="preserve"> trajanje</w:t>
      </w:r>
      <w:r w:rsidRPr="005117A6">
        <w:t xml:space="preserve"> projekta</w:t>
      </w:r>
      <w:r w:rsidRPr="004F2802">
        <w:t>.</w:t>
      </w:r>
    </w:p>
    <w:p w14:paraId="08E0786A" w14:textId="0046DDE3" w:rsidR="00EB65B2" w:rsidRPr="004F2802" w:rsidRDefault="00EB65B2" w:rsidP="005B4842">
      <w:pPr>
        <w:spacing w:after="160" w:line="278" w:lineRule="auto"/>
        <w:jc w:val="both"/>
      </w:pPr>
      <w:r w:rsidRPr="004F2802">
        <w:t xml:space="preserve">Na osnovu procjene rizika izrađuje se Godišnji plan praćenja i terenskih </w:t>
      </w:r>
      <w:r w:rsidR="00806CF6">
        <w:t>kontrola</w:t>
      </w:r>
      <w:r w:rsidRPr="004F2802">
        <w:t xml:space="preserve"> koji sadrži raspored i dinamiku kontrola, popis projekata i korisnika te ciljeve svake pojedinačne kontrole.</w:t>
      </w:r>
    </w:p>
    <w:p w14:paraId="267826F1" w14:textId="73A570C1" w:rsidR="00EB65B2" w:rsidRDefault="00EB65B2" w:rsidP="005B4842">
      <w:pPr>
        <w:jc w:val="both"/>
      </w:pPr>
      <w:r w:rsidRPr="004F2802">
        <w:t xml:space="preserve">Terenske </w:t>
      </w:r>
      <w:r w:rsidR="00806CF6">
        <w:t xml:space="preserve">kontrole </w:t>
      </w:r>
      <w:r w:rsidRPr="004F2802">
        <w:t xml:space="preserve"> su obavezne za</w:t>
      </w:r>
      <w:r w:rsidRPr="005117A6">
        <w:t xml:space="preserve"> projekte čija vrijednost premašuje 10.000,00 KM i čije trajanje iznosi najmanje 12 mjeseci;  zatim za projekte koji su, na osnovu procjene rizika, razvrstani u visoku rizičnu kategoriju, a  moguće je i za projekte niže vrijednosti, u slučaju sumnje na nepravilnosti ili po potrebi.</w:t>
      </w:r>
      <w:r w:rsidRPr="004F2802">
        <w:t xml:space="preserve"> </w:t>
      </w:r>
    </w:p>
    <w:p w14:paraId="2CAFD98F" w14:textId="77777777" w:rsidR="007049AA" w:rsidRDefault="007049AA" w:rsidP="005B4842">
      <w:pPr>
        <w:jc w:val="both"/>
      </w:pPr>
    </w:p>
    <w:p w14:paraId="6A7ABA60" w14:textId="43526761" w:rsidR="00EB65B2" w:rsidRDefault="00EB65B2" w:rsidP="005B4842">
      <w:pPr>
        <w:jc w:val="both"/>
      </w:pPr>
      <w:r w:rsidRPr="00EB65B2">
        <w:lastRenderedPageBreak/>
        <w:t xml:space="preserve">Kod isplate sredstava u tranšama preporučuje se da se, prije svake pojedinačne isplate, izvrši terenska </w:t>
      </w:r>
      <w:r w:rsidR="00806CF6">
        <w:t>kontrola</w:t>
      </w:r>
      <w:r w:rsidRPr="00EB65B2">
        <w:t xml:space="preserve"> za projekte za koje je, u skladu s ovim Uputstvom, utvrđena obaveza provođenja terenske </w:t>
      </w:r>
      <w:r w:rsidR="00806CF6">
        <w:t>kontrole</w:t>
      </w:r>
      <w:r w:rsidRPr="00EB65B2">
        <w:t>.</w:t>
      </w:r>
    </w:p>
    <w:p w14:paraId="560CEB0E" w14:textId="77777777" w:rsidR="00321986" w:rsidRDefault="00321986" w:rsidP="005B4842">
      <w:pPr>
        <w:jc w:val="both"/>
      </w:pPr>
    </w:p>
    <w:p w14:paraId="4877A929" w14:textId="11928B61" w:rsidR="00806CF6" w:rsidRDefault="00EB65B2" w:rsidP="005B4842">
      <w:pPr>
        <w:jc w:val="both"/>
      </w:pPr>
      <w:r w:rsidRPr="004F2802">
        <w:t xml:space="preserve">Učestalost terenskih </w:t>
      </w:r>
      <w:r w:rsidR="00806CF6">
        <w:t>kontrola</w:t>
      </w:r>
      <w:r w:rsidRPr="004F2802">
        <w:t xml:space="preserve"> utvrđuje se Godišnjim planom</w:t>
      </w:r>
      <w:r w:rsidRPr="005117A6">
        <w:t xml:space="preserve"> praćenja i terenskih </w:t>
      </w:r>
      <w:r w:rsidR="00806CF6">
        <w:t xml:space="preserve">kontrola </w:t>
      </w:r>
      <w:r w:rsidRPr="004F2802">
        <w:t>na osnovu Procjene rizičnosti korisnika/projekta.</w:t>
      </w:r>
      <w:r w:rsidR="00806CF6">
        <w:t xml:space="preserve"> </w:t>
      </w:r>
    </w:p>
    <w:p w14:paraId="59926F8B" w14:textId="77777777" w:rsidR="007049AA" w:rsidRDefault="007049AA" w:rsidP="005B4842">
      <w:pPr>
        <w:jc w:val="both"/>
      </w:pPr>
    </w:p>
    <w:p w14:paraId="1EB57C91" w14:textId="4EEF278E" w:rsidR="00806CF6" w:rsidRPr="00D27082" w:rsidRDefault="00806CF6" w:rsidP="005B4842">
      <w:pPr>
        <w:jc w:val="both"/>
      </w:pPr>
      <w:r w:rsidRPr="00D27082">
        <w:t xml:space="preserve">Obrasci Godišnji plan praćenja i terenskih kontrola (Obrazac 1.)  i </w:t>
      </w:r>
      <w:r w:rsidR="00D27082">
        <w:t xml:space="preserve"> </w:t>
      </w:r>
      <w:r w:rsidRPr="00D27082">
        <w:t xml:space="preserve">Procjena rizičnosti korisnika/projekta (Obrazac 2.)  </w:t>
      </w:r>
      <w:r w:rsidR="003D33B3">
        <w:t>prilozi</w:t>
      </w:r>
      <w:r w:rsidRPr="00D27082">
        <w:t xml:space="preserve"> </w:t>
      </w:r>
      <w:r w:rsidR="00D27082">
        <w:t xml:space="preserve">su </w:t>
      </w:r>
      <w:r w:rsidRPr="00D27082">
        <w:t>ovog Uputstva.</w:t>
      </w:r>
    </w:p>
    <w:p w14:paraId="7B218E75" w14:textId="77777777" w:rsidR="00EB65B2" w:rsidRPr="004F2802" w:rsidRDefault="00EB65B2" w:rsidP="005B4842">
      <w:pPr>
        <w:spacing w:after="160" w:line="278" w:lineRule="auto"/>
        <w:jc w:val="both"/>
      </w:pPr>
    </w:p>
    <w:p w14:paraId="516328BF" w14:textId="77777777" w:rsidR="00EB65B2" w:rsidRPr="004F2802" w:rsidRDefault="00EB65B2" w:rsidP="005B4842">
      <w:pPr>
        <w:spacing w:after="160" w:line="278" w:lineRule="auto"/>
        <w:jc w:val="both"/>
        <w:rPr>
          <w:b/>
          <w:bCs/>
        </w:rPr>
      </w:pPr>
      <w:r w:rsidRPr="004F2802">
        <w:rPr>
          <w:b/>
          <w:bCs/>
        </w:rPr>
        <w:t>V. VRSTE IZVJEŠTAJA, DINAMIKA I ROKOVI</w:t>
      </w:r>
    </w:p>
    <w:p w14:paraId="641F11B5" w14:textId="77777777" w:rsidR="00EB65B2" w:rsidRPr="004F2802" w:rsidRDefault="00EB65B2" w:rsidP="005B4842">
      <w:pPr>
        <w:spacing w:after="160" w:line="278" w:lineRule="auto"/>
        <w:jc w:val="both"/>
      </w:pPr>
      <w:r w:rsidRPr="004F2802">
        <w:t xml:space="preserve">Korisnici budžetskih sredstava obavezni su dostavljati periodične i </w:t>
      </w:r>
      <w:r w:rsidRPr="005117A6">
        <w:t>finalne</w:t>
      </w:r>
      <w:r w:rsidRPr="004F2802">
        <w:t xml:space="preserve"> izvještaje u rokovima utvrđenim ugovorom.</w:t>
      </w:r>
    </w:p>
    <w:p w14:paraId="16F7434B" w14:textId="77777777" w:rsidR="00EB65B2" w:rsidRDefault="00EB65B2" w:rsidP="005B4842">
      <w:pPr>
        <w:jc w:val="both"/>
      </w:pPr>
      <w:r w:rsidRPr="004F2802">
        <w:t xml:space="preserve">Periodični izvještaji podnose se tokom realizacije projekta, a </w:t>
      </w:r>
      <w:r w:rsidRPr="005117A6">
        <w:t>finalni</w:t>
      </w:r>
      <w:r w:rsidRPr="004F2802">
        <w:t xml:space="preserve"> po njegovom okončanju. </w:t>
      </w:r>
    </w:p>
    <w:p w14:paraId="173BF69E" w14:textId="77777777" w:rsidR="00321986" w:rsidRPr="005117A6" w:rsidRDefault="00321986" w:rsidP="005B4842">
      <w:pPr>
        <w:jc w:val="both"/>
      </w:pPr>
    </w:p>
    <w:p w14:paraId="26DD555C" w14:textId="77777777" w:rsidR="00EB65B2" w:rsidRPr="005117A6" w:rsidRDefault="00EB65B2" w:rsidP="005B4842">
      <w:pPr>
        <w:jc w:val="both"/>
      </w:pPr>
      <w:r w:rsidRPr="005117A6">
        <w:t>U zavisnosti od dužine trajanja projekta, obavezan je sljedeći broj periodičnih izvještaja:</w:t>
      </w:r>
    </w:p>
    <w:p w14:paraId="14207E58" w14:textId="6E93FD66" w:rsidR="00EB65B2" w:rsidRPr="005117A6" w:rsidRDefault="00EB65B2" w:rsidP="005B4842">
      <w:pPr>
        <w:jc w:val="both"/>
      </w:pPr>
      <w:r w:rsidRPr="005117A6">
        <w:t>•</w:t>
      </w:r>
      <w:r w:rsidRPr="005117A6">
        <w:tab/>
        <w:t xml:space="preserve">za projekte do 6 mjeseci – najmanje </w:t>
      </w:r>
      <w:r w:rsidRPr="005117A6">
        <w:fldChar w:fldCharType="begin">
          <w:ffData>
            <w:name w:val="Text4"/>
            <w:enabled/>
            <w:calcOnExit w:val="0"/>
            <w:textInput>
              <w:default w:val="[broj] "/>
            </w:textInput>
          </w:ffData>
        </w:fldChar>
      </w:r>
      <w:r w:rsidRPr="005117A6">
        <w:instrText xml:space="preserve"> FORMTEXT </w:instrText>
      </w:r>
      <w:r w:rsidRPr="005117A6">
        <w:fldChar w:fldCharType="separate"/>
      </w:r>
      <w:r w:rsidRPr="005117A6">
        <w:rPr>
          <w:noProof/>
        </w:rPr>
        <w:t xml:space="preserve">[broj] </w:t>
      </w:r>
      <w:r w:rsidRPr="005117A6">
        <w:fldChar w:fldCharType="end"/>
      </w:r>
      <w:r w:rsidRPr="005117A6">
        <w:t>periodični</w:t>
      </w:r>
      <w:r w:rsidR="003D33B3">
        <w:t>h</w:t>
      </w:r>
      <w:r w:rsidRPr="005117A6">
        <w:t xml:space="preserve"> izvještaj</w:t>
      </w:r>
      <w:r w:rsidR="003D33B3">
        <w:t>a</w:t>
      </w:r>
      <w:r w:rsidRPr="005117A6">
        <w:t>;</w:t>
      </w:r>
    </w:p>
    <w:p w14:paraId="3D9BBA3B" w14:textId="6CB607AE" w:rsidR="00EB65B2" w:rsidRPr="005117A6" w:rsidRDefault="00EB65B2" w:rsidP="005B4842">
      <w:pPr>
        <w:jc w:val="both"/>
      </w:pPr>
      <w:r w:rsidRPr="005117A6">
        <w:t>•</w:t>
      </w:r>
      <w:r w:rsidRPr="005117A6">
        <w:tab/>
        <w:t xml:space="preserve">za projekte od 6 do 12 mjeseci – najmanje </w:t>
      </w:r>
      <w:r w:rsidRPr="005117A6">
        <w:fldChar w:fldCharType="begin">
          <w:ffData>
            <w:name w:val="Text4"/>
            <w:enabled/>
            <w:calcOnExit w:val="0"/>
            <w:textInput>
              <w:default w:val="[broj] "/>
            </w:textInput>
          </w:ffData>
        </w:fldChar>
      </w:r>
      <w:r w:rsidRPr="005117A6">
        <w:instrText xml:space="preserve"> FORMTEXT </w:instrText>
      </w:r>
      <w:r w:rsidRPr="005117A6">
        <w:fldChar w:fldCharType="separate"/>
      </w:r>
      <w:r w:rsidRPr="005117A6">
        <w:rPr>
          <w:noProof/>
        </w:rPr>
        <w:t xml:space="preserve">[broj] </w:t>
      </w:r>
      <w:r w:rsidRPr="005117A6">
        <w:fldChar w:fldCharType="end"/>
      </w:r>
      <w:r w:rsidRPr="005117A6">
        <w:t>periodičn</w:t>
      </w:r>
      <w:r w:rsidR="003D33B3">
        <w:t>ih</w:t>
      </w:r>
      <w:r w:rsidRPr="005117A6">
        <w:t xml:space="preserve"> izvještaja;</w:t>
      </w:r>
    </w:p>
    <w:p w14:paraId="1A442F1F" w14:textId="0457AE55" w:rsidR="00EB65B2" w:rsidRDefault="00EB65B2" w:rsidP="005B4842">
      <w:pPr>
        <w:spacing w:line="278" w:lineRule="auto"/>
        <w:jc w:val="both"/>
      </w:pPr>
      <w:r w:rsidRPr="005117A6">
        <w:t>•</w:t>
      </w:r>
      <w:r w:rsidRPr="005117A6">
        <w:tab/>
        <w:t xml:space="preserve">za projekte duže od 12 mjeseci – najmanje </w:t>
      </w:r>
      <w:r w:rsidRPr="005117A6">
        <w:fldChar w:fldCharType="begin">
          <w:ffData>
            <w:name w:val="Text4"/>
            <w:enabled/>
            <w:calcOnExit w:val="0"/>
            <w:textInput>
              <w:default w:val="[broj] "/>
            </w:textInput>
          </w:ffData>
        </w:fldChar>
      </w:r>
      <w:r w:rsidRPr="005117A6">
        <w:instrText xml:space="preserve"> FORMTEXT </w:instrText>
      </w:r>
      <w:r w:rsidRPr="005117A6">
        <w:fldChar w:fldCharType="separate"/>
      </w:r>
      <w:r w:rsidRPr="005117A6">
        <w:rPr>
          <w:noProof/>
        </w:rPr>
        <w:t xml:space="preserve">[broj] </w:t>
      </w:r>
      <w:r w:rsidRPr="005117A6">
        <w:fldChar w:fldCharType="end"/>
      </w:r>
      <w:r w:rsidRPr="005117A6">
        <w:t>periodičn</w:t>
      </w:r>
      <w:r w:rsidR="003D33B3">
        <w:t>ih</w:t>
      </w:r>
      <w:r w:rsidRPr="005117A6">
        <w:t xml:space="preserve"> izvještaja.</w:t>
      </w:r>
    </w:p>
    <w:p w14:paraId="69D3835B" w14:textId="77777777" w:rsidR="00D27082" w:rsidRPr="004F2802" w:rsidRDefault="00D27082" w:rsidP="005B4842">
      <w:pPr>
        <w:spacing w:line="278" w:lineRule="auto"/>
        <w:jc w:val="both"/>
      </w:pPr>
    </w:p>
    <w:p w14:paraId="7CFFB694" w14:textId="6C75A090" w:rsidR="00D27082" w:rsidRPr="00D27082" w:rsidRDefault="00D27082" w:rsidP="005B4842">
      <w:pPr>
        <w:jc w:val="both"/>
      </w:pPr>
      <w:r w:rsidRPr="00D27082">
        <w:t>Obrasci</w:t>
      </w:r>
      <w:r>
        <w:t>: Finalni opisni izvještaj</w:t>
      </w:r>
      <w:r w:rsidRPr="00D27082">
        <w:t xml:space="preserve"> (Obrazac </w:t>
      </w:r>
      <w:r>
        <w:t>3</w:t>
      </w:r>
      <w:r w:rsidRPr="00D27082">
        <w:t>.)</w:t>
      </w:r>
      <w:r>
        <w:t>, Finalni finansijski izvještaj (Obrazac 4.), Periodični opisni izvještaj (Obrazac 5.) i Periodični finansijski izvještaj (Obrazac 6.)</w:t>
      </w:r>
      <w:r w:rsidRPr="00D27082">
        <w:t xml:space="preserve">   u prilogu </w:t>
      </w:r>
      <w:r>
        <w:t xml:space="preserve">su </w:t>
      </w:r>
      <w:r w:rsidRPr="00D27082">
        <w:t>ovog Uputstva.</w:t>
      </w:r>
    </w:p>
    <w:p w14:paraId="44D068E4" w14:textId="77777777" w:rsidR="00EB65B2" w:rsidRPr="004F2802" w:rsidRDefault="00EB65B2" w:rsidP="005B4842">
      <w:pPr>
        <w:spacing w:after="160" w:line="278" w:lineRule="auto"/>
        <w:jc w:val="both"/>
      </w:pPr>
    </w:p>
    <w:p w14:paraId="0A54C840" w14:textId="77777777" w:rsidR="00EB65B2" w:rsidRPr="004F2802" w:rsidRDefault="00EB65B2" w:rsidP="005B4842">
      <w:pPr>
        <w:spacing w:after="160" w:line="278" w:lineRule="auto"/>
        <w:jc w:val="both"/>
        <w:rPr>
          <w:b/>
          <w:bCs/>
        </w:rPr>
      </w:pPr>
      <w:r w:rsidRPr="004F2802">
        <w:rPr>
          <w:b/>
          <w:bCs/>
        </w:rPr>
        <w:t>VI. SADRŽAJ IZVJEŠTAJA</w:t>
      </w:r>
    </w:p>
    <w:p w14:paraId="2DDE1696" w14:textId="77777777" w:rsidR="00EB65B2" w:rsidRPr="004F2802" w:rsidRDefault="00EB65B2" w:rsidP="005B4842">
      <w:pPr>
        <w:spacing w:after="160" w:line="278" w:lineRule="auto"/>
        <w:jc w:val="both"/>
      </w:pPr>
      <w:r>
        <w:t>Opisno (p</w:t>
      </w:r>
      <w:r w:rsidRPr="004F2802">
        <w:t>rogramsko</w:t>
      </w:r>
      <w:r>
        <w:t>)</w:t>
      </w:r>
      <w:r w:rsidRPr="004F2802">
        <w:t xml:space="preserve"> izvještavanje obuhvata pregled realizacije aktivnosti, ostvarenih rezultata, indikatora, rizika, održivosti i vidljivosti, kao i plan za naredni period ili preporuke za unapređenje.</w:t>
      </w:r>
    </w:p>
    <w:p w14:paraId="3C155721" w14:textId="77777777" w:rsidR="00EB65B2" w:rsidRPr="004F2802" w:rsidRDefault="00EB65B2" w:rsidP="005B4842">
      <w:pPr>
        <w:spacing w:after="160" w:line="278" w:lineRule="auto"/>
        <w:jc w:val="both"/>
      </w:pPr>
      <w:r w:rsidRPr="004F2802">
        <w:t>Finansijsko izvještavanje obuhvata pregled utroška sredstava po aktivnostima, ukupni finansijski pregled, odstupanja i izjavu o namjenskom trošenju sredstava.</w:t>
      </w:r>
    </w:p>
    <w:p w14:paraId="19BC5047" w14:textId="77777777" w:rsidR="00EB65B2" w:rsidRPr="004F2802" w:rsidRDefault="00EB65B2" w:rsidP="005B4842">
      <w:pPr>
        <w:spacing w:after="160" w:line="278" w:lineRule="auto"/>
        <w:jc w:val="both"/>
      </w:pPr>
      <w:r w:rsidRPr="004F2802">
        <w:t>Uz izvještaj se dostavlja prateća dokumentacija kojom se potvrđuje realizacija aktivnosti i troškova.</w:t>
      </w:r>
    </w:p>
    <w:p w14:paraId="560D4C3C" w14:textId="77777777" w:rsidR="00EB65B2" w:rsidRPr="004F2802" w:rsidRDefault="00EB65B2" w:rsidP="005B4842">
      <w:pPr>
        <w:spacing w:after="160" w:line="278" w:lineRule="auto"/>
        <w:jc w:val="both"/>
        <w:rPr>
          <w:b/>
          <w:bCs/>
        </w:rPr>
      </w:pPr>
      <w:r w:rsidRPr="004F2802">
        <w:rPr>
          <w:b/>
          <w:bCs/>
        </w:rPr>
        <w:t>VII. POSTUPAK OBRADE IZVJEŠTAJA</w:t>
      </w:r>
    </w:p>
    <w:p w14:paraId="573290B5" w14:textId="77777777" w:rsidR="00EB65B2" w:rsidRDefault="00EB65B2" w:rsidP="005B4842">
      <w:pPr>
        <w:jc w:val="both"/>
      </w:pPr>
      <w:r w:rsidRPr="005117A6">
        <w:t xml:space="preserve">Tijelo za praćenje  evidentira svaki pristigli izvještaj u roku od </w:t>
      </w:r>
      <w:r w:rsidRPr="005117A6">
        <w:fldChar w:fldCharType="begin">
          <w:ffData>
            <w:name w:val="Text4"/>
            <w:enabled/>
            <w:calcOnExit w:val="0"/>
            <w:textInput>
              <w:default w:val="[broj] "/>
            </w:textInput>
          </w:ffData>
        </w:fldChar>
      </w:r>
      <w:r w:rsidRPr="005117A6">
        <w:instrText xml:space="preserve"> FORMTEXT </w:instrText>
      </w:r>
      <w:r w:rsidRPr="005117A6">
        <w:fldChar w:fldCharType="separate"/>
      </w:r>
      <w:r w:rsidRPr="005117A6">
        <w:rPr>
          <w:noProof/>
        </w:rPr>
        <w:t xml:space="preserve">[broj] </w:t>
      </w:r>
      <w:r w:rsidRPr="005117A6">
        <w:fldChar w:fldCharType="end"/>
      </w:r>
      <w:r w:rsidRPr="005117A6">
        <w:t xml:space="preserve">dana od prijema. </w:t>
      </w:r>
    </w:p>
    <w:p w14:paraId="36C59589" w14:textId="77777777" w:rsidR="007049AA" w:rsidRPr="005117A6" w:rsidRDefault="007049AA" w:rsidP="005B4842">
      <w:pPr>
        <w:jc w:val="both"/>
      </w:pPr>
    </w:p>
    <w:p w14:paraId="49E653B5" w14:textId="77777777" w:rsidR="00EB65B2" w:rsidRDefault="00EB65B2" w:rsidP="005B4842">
      <w:pPr>
        <w:jc w:val="both"/>
      </w:pPr>
      <w:r w:rsidRPr="005117A6">
        <w:t xml:space="preserve">U roku od </w:t>
      </w:r>
      <w:r w:rsidRPr="005117A6">
        <w:fldChar w:fldCharType="begin">
          <w:ffData>
            <w:name w:val="Text4"/>
            <w:enabled/>
            <w:calcOnExit w:val="0"/>
            <w:textInput>
              <w:default w:val="[broj] "/>
            </w:textInput>
          </w:ffData>
        </w:fldChar>
      </w:r>
      <w:r w:rsidRPr="005117A6">
        <w:instrText xml:space="preserve"> FORMTEXT </w:instrText>
      </w:r>
      <w:r w:rsidRPr="005117A6">
        <w:fldChar w:fldCharType="separate"/>
      </w:r>
      <w:r w:rsidRPr="005117A6">
        <w:rPr>
          <w:noProof/>
        </w:rPr>
        <w:t xml:space="preserve">[broj] </w:t>
      </w:r>
      <w:r w:rsidRPr="005117A6">
        <w:fldChar w:fldCharType="end"/>
      </w:r>
      <w:r w:rsidRPr="005117A6">
        <w:t>dana od prijema, Tijelo za praćenje vrši:</w:t>
      </w:r>
    </w:p>
    <w:p w14:paraId="1D2577C8" w14:textId="77777777" w:rsidR="007049AA" w:rsidRPr="005117A6" w:rsidRDefault="007049AA" w:rsidP="005B4842">
      <w:pPr>
        <w:jc w:val="both"/>
      </w:pPr>
    </w:p>
    <w:p w14:paraId="24262C6F" w14:textId="7235594E" w:rsidR="00EB65B2" w:rsidRPr="005117A6" w:rsidRDefault="00EB65B2" w:rsidP="005B4842">
      <w:pPr>
        <w:pStyle w:val="ListParagraph"/>
        <w:numPr>
          <w:ilvl w:val="0"/>
          <w:numId w:val="27"/>
        </w:numPr>
        <w:jc w:val="both"/>
      </w:pPr>
      <w:r w:rsidRPr="005117A6">
        <w:t xml:space="preserve">formalnu provjeru (potpunost, rokovi, potpisi, pečat); </w:t>
      </w:r>
    </w:p>
    <w:p w14:paraId="67836474" w14:textId="007F1995" w:rsidR="00EB65B2" w:rsidRPr="005117A6" w:rsidRDefault="00EB65B2" w:rsidP="005B4842">
      <w:pPr>
        <w:pStyle w:val="ListParagraph"/>
        <w:numPr>
          <w:ilvl w:val="0"/>
          <w:numId w:val="27"/>
        </w:numPr>
        <w:jc w:val="both"/>
      </w:pPr>
      <w:r w:rsidRPr="005117A6">
        <w:t xml:space="preserve">finansijsku provjeru (usklađenost sa budžetom, prihvatljivost troškova, dokumentacija); </w:t>
      </w:r>
    </w:p>
    <w:p w14:paraId="36B1B6F1" w14:textId="40397640" w:rsidR="00EB65B2" w:rsidRDefault="00EB65B2" w:rsidP="005B4842">
      <w:pPr>
        <w:pStyle w:val="ListParagraph"/>
        <w:numPr>
          <w:ilvl w:val="0"/>
          <w:numId w:val="27"/>
        </w:numPr>
        <w:jc w:val="both"/>
      </w:pPr>
      <w:r w:rsidRPr="005117A6">
        <w:t xml:space="preserve">programsku provjeru (ostvarenje aktivnosti i indikatora, dokazi). </w:t>
      </w:r>
    </w:p>
    <w:p w14:paraId="2847FC83" w14:textId="77777777" w:rsidR="007049AA" w:rsidRPr="005117A6" w:rsidRDefault="007049AA" w:rsidP="005B4842">
      <w:pPr>
        <w:pStyle w:val="ListParagraph"/>
        <w:jc w:val="both"/>
      </w:pPr>
    </w:p>
    <w:p w14:paraId="5AC41E9B" w14:textId="47CD4F46" w:rsidR="00EB65B2" w:rsidRDefault="00EB65B2" w:rsidP="005B4842">
      <w:pPr>
        <w:jc w:val="both"/>
      </w:pPr>
      <w:r w:rsidRPr="005117A6">
        <w:lastRenderedPageBreak/>
        <w:t xml:space="preserve">Korektivne mjere utvrđuju se u skladu sa Tabelom za određivanje mjera (Prilog </w:t>
      </w:r>
      <w:r w:rsidR="007049AA">
        <w:t>2</w:t>
      </w:r>
      <w:r w:rsidR="00EA7499">
        <w:t>.</w:t>
      </w:r>
      <w:r w:rsidRPr="005117A6">
        <w:t xml:space="preserve">) </w:t>
      </w:r>
    </w:p>
    <w:p w14:paraId="704F53C7" w14:textId="77777777" w:rsidR="007049AA" w:rsidRPr="005117A6" w:rsidRDefault="007049AA" w:rsidP="005B4842">
      <w:pPr>
        <w:jc w:val="both"/>
      </w:pPr>
    </w:p>
    <w:p w14:paraId="30D6FF18" w14:textId="77777777" w:rsidR="00EB65B2" w:rsidRPr="005117A6" w:rsidRDefault="00EB65B2" w:rsidP="005B4842">
      <w:pPr>
        <w:jc w:val="both"/>
      </w:pPr>
      <w:r w:rsidRPr="005117A6">
        <w:t xml:space="preserve">Po prihvatanju izvještaja, nadležna služba pokreće postupak za doznaku naredne tranše (ako je predviđeno sukcesivno finansiranje). </w:t>
      </w:r>
    </w:p>
    <w:p w14:paraId="43050CF1" w14:textId="77777777" w:rsidR="00EB65B2" w:rsidRDefault="00EB65B2" w:rsidP="005B4842">
      <w:pPr>
        <w:jc w:val="both"/>
      </w:pPr>
      <w:r w:rsidRPr="005117A6">
        <w:t>O radu Tijela za praćenje vodi se zapisnik, koji sadrži najmanje: datum, vrijeme i mjesto sjednice, prisutnost članova, dnevni red, donesene odluke i rezultate glasanja, izdvojena mišljenja članova, ako postoje, te potpise predsjednika i zapisničara.</w:t>
      </w:r>
    </w:p>
    <w:p w14:paraId="0101A7F5" w14:textId="77777777" w:rsidR="007049AA" w:rsidRPr="005117A6" w:rsidRDefault="007049AA" w:rsidP="005B4842">
      <w:pPr>
        <w:jc w:val="both"/>
      </w:pPr>
    </w:p>
    <w:p w14:paraId="33CE4F7F" w14:textId="77777777" w:rsidR="00EB65B2" w:rsidRDefault="00EB65B2" w:rsidP="005B4842">
      <w:pPr>
        <w:jc w:val="both"/>
      </w:pPr>
      <w:r w:rsidRPr="005117A6">
        <w:t>Zapisnik obavezno sadrži i poseban dio koji se odnosi na nalaze praćenja, identifikovane rizike i odstupanja, kao i predložene i/ili naložene korektivne mjere, uključujući rokove za njihovo provođenje i odgovorna lica za realizaciju.</w:t>
      </w:r>
    </w:p>
    <w:p w14:paraId="6F17EDD3" w14:textId="77777777" w:rsidR="007049AA" w:rsidRPr="005117A6" w:rsidRDefault="007049AA" w:rsidP="005B4842">
      <w:pPr>
        <w:jc w:val="both"/>
      </w:pPr>
    </w:p>
    <w:p w14:paraId="0CCC7BBA" w14:textId="77777777" w:rsidR="00EB65B2" w:rsidRPr="005117A6" w:rsidRDefault="00EB65B2" w:rsidP="005B4842">
      <w:pPr>
        <w:jc w:val="both"/>
      </w:pPr>
      <w:r w:rsidRPr="005117A6">
        <w:t xml:space="preserve">Zapisnik se dostavlja nadležnom rukovodiocu  </w:t>
      </w:r>
      <w:r w:rsidRPr="005117A6">
        <w:fldChar w:fldCharType="begin">
          <w:ffData>
            <w:name w:val="Text5"/>
            <w:enabled/>
            <w:calcOnExit w:val="0"/>
            <w:textInput>
              <w:default w:val="[načelnik/gradonačelnik/nadležna služba] "/>
            </w:textInput>
          </w:ffData>
        </w:fldChar>
      </w:r>
      <w:r w:rsidRPr="005117A6">
        <w:instrText xml:space="preserve"> FORMTEXT </w:instrText>
      </w:r>
      <w:r w:rsidRPr="005117A6">
        <w:fldChar w:fldCharType="separate"/>
      </w:r>
      <w:r w:rsidRPr="005117A6">
        <w:rPr>
          <w:noProof/>
        </w:rPr>
        <w:t xml:space="preserve">[načelnik/gradonačelnik/nadležna služba] </w:t>
      </w:r>
      <w:r w:rsidRPr="005117A6">
        <w:fldChar w:fldCharType="end"/>
      </w:r>
      <w:r w:rsidRPr="005117A6">
        <w:t>radi donošenja konačne odluke o mjerama, uključujući odobravanje isplata, korektivne mjere i postupanje u slučaju nepravilnosti.</w:t>
      </w:r>
    </w:p>
    <w:p w14:paraId="1BB35814" w14:textId="77777777" w:rsidR="00EB65B2" w:rsidRPr="005117A6" w:rsidRDefault="00EB65B2" w:rsidP="005B4842">
      <w:pPr>
        <w:jc w:val="both"/>
      </w:pPr>
    </w:p>
    <w:p w14:paraId="4A46B202" w14:textId="22E88B24" w:rsidR="00EB65B2" w:rsidRPr="004F2802" w:rsidRDefault="00EB65B2" w:rsidP="005B4842">
      <w:pPr>
        <w:spacing w:after="160" w:line="278" w:lineRule="auto"/>
        <w:jc w:val="both"/>
        <w:rPr>
          <w:b/>
          <w:bCs/>
        </w:rPr>
      </w:pPr>
      <w:r w:rsidRPr="004F2802">
        <w:rPr>
          <w:b/>
          <w:bCs/>
        </w:rPr>
        <w:t xml:space="preserve">VIII. TERENSKE </w:t>
      </w:r>
      <w:r w:rsidR="007049AA">
        <w:rPr>
          <w:b/>
          <w:bCs/>
        </w:rPr>
        <w:t>KONTROLE</w:t>
      </w:r>
    </w:p>
    <w:p w14:paraId="1527E027" w14:textId="4D8152DD" w:rsidR="00EB65B2" w:rsidRDefault="00EB65B2" w:rsidP="005B4842">
      <w:pPr>
        <w:jc w:val="both"/>
      </w:pPr>
      <w:r w:rsidRPr="005117A6">
        <w:t>Terensk</w:t>
      </w:r>
      <w:r w:rsidR="004A5440">
        <w:t>e</w:t>
      </w:r>
      <w:r w:rsidRPr="005117A6">
        <w:t xml:space="preserve"> </w:t>
      </w:r>
      <w:r w:rsidR="007049AA">
        <w:t>kontrol</w:t>
      </w:r>
      <w:r w:rsidR="004A5440">
        <w:t xml:space="preserve">e </w:t>
      </w:r>
      <w:r w:rsidRPr="005117A6">
        <w:t xml:space="preserve">se provode radi: </w:t>
      </w:r>
    </w:p>
    <w:p w14:paraId="3DF4FBAA" w14:textId="77777777" w:rsidR="007049AA" w:rsidRPr="005117A6" w:rsidRDefault="007049AA" w:rsidP="005B4842">
      <w:pPr>
        <w:jc w:val="both"/>
      </w:pPr>
    </w:p>
    <w:p w14:paraId="35CF0173" w14:textId="57963A65" w:rsidR="00EB65B2" w:rsidRPr="005117A6" w:rsidRDefault="00EB65B2" w:rsidP="005B4842">
      <w:pPr>
        <w:pStyle w:val="ListParagraph"/>
        <w:numPr>
          <w:ilvl w:val="0"/>
          <w:numId w:val="29"/>
        </w:numPr>
        <w:jc w:val="both"/>
      </w:pPr>
      <w:r w:rsidRPr="005117A6">
        <w:t>fizičke verifikacije realizacije projektnih aktivnosti;</w:t>
      </w:r>
    </w:p>
    <w:p w14:paraId="617764FA" w14:textId="4874BC8E" w:rsidR="00EB65B2" w:rsidRPr="005117A6" w:rsidRDefault="00EB65B2" w:rsidP="005B4842">
      <w:pPr>
        <w:pStyle w:val="ListParagraph"/>
        <w:numPr>
          <w:ilvl w:val="0"/>
          <w:numId w:val="29"/>
        </w:numPr>
        <w:jc w:val="both"/>
      </w:pPr>
      <w:r w:rsidRPr="005117A6">
        <w:t>provjere usklađenosti izvještaja korisnika sa stvarnim stanjem;</w:t>
      </w:r>
    </w:p>
    <w:p w14:paraId="3C69C09C" w14:textId="5ED06E1D" w:rsidR="00EB65B2" w:rsidRPr="005117A6" w:rsidRDefault="00EB65B2" w:rsidP="005B4842">
      <w:pPr>
        <w:pStyle w:val="ListParagraph"/>
        <w:numPr>
          <w:ilvl w:val="0"/>
          <w:numId w:val="29"/>
        </w:numPr>
        <w:jc w:val="both"/>
      </w:pPr>
      <w:r w:rsidRPr="005117A6">
        <w:t>identifikacije odstupanja, rizika i uskih grla u provedbi;</w:t>
      </w:r>
    </w:p>
    <w:p w14:paraId="400EE8D4" w14:textId="4EB92B6C" w:rsidR="00EB65B2" w:rsidRPr="005117A6" w:rsidRDefault="00EB65B2" w:rsidP="005B4842">
      <w:pPr>
        <w:pStyle w:val="ListParagraph"/>
        <w:numPr>
          <w:ilvl w:val="0"/>
          <w:numId w:val="29"/>
        </w:numPr>
        <w:jc w:val="both"/>
      </w:pPr>
      <w:r w:rsidRPr="005117A6">
        <w:t xml:space="preserve">provjere kvaliteta, obima i dinamike realizacije; </w:t>
      </w:r>
    </w:p>
    <w:p w14:paraId="1706E3C9" w14:textId="45ECE9B8" w:rsidR="00EB65B2" w:rsidRPr="005117A6" w:rsidRDefault="00EB65B2" w:rsidP="005B4842">
      <w:pPr>
        <w:pStyle w:val="ListParagraph"/>
        <w:numPr>
          <w:ilvl w:val="0"/>
          <w:numId w:val="29"/>
        </w:numPr>
        <w:jc w:val="both"/>
      </w:pPr>
      <w:r w:rsidRPr="005117A6">
        <w:t xml:space="preserve">verifikacije finansijske dokumentacije i namjenskog trošenja sredstava; </w:t>
      </w:r>
    </w:p>
    <w:p w14:paraId="7E5D5688" w14:textId="4190C939" w:rsidR="00EB65B2" w:rsidRDefault="00EB65B2" w:rsidP="005B4842">
      <w:pPr>
        <w:pStyle w:val="ListParagraph"/>
        <w:numPr>
          <w:ilvl w:val="0"/>
          <w:numId w:val="29"/>
        </w:numPr>
        <w:jc w:val="both"/>
      </w:pPr>
      <w:r w:rsidRPr="005117A6">
        <w:t xml:space="preserve">pružanja podrške korisniku u otklanjanju uočenih nedostataka. </w:t>
      </w:r>
    </w:p>
    <w:p w14:paraId="5DCD884E" w14:textId="77777777" w:rsidR="00EB65B2" w:rsidRPr="005117A6" w:rsidRDefault="00EB65B2" w:rsidP="005B4842">
      <w:pPr>
        <w:jc w:val="both"/>
      </w:pPr>
    </w:p>
    <w:p w14:paraId="30F2FD91" w14:textId="2B348848" w:rsidR="00EB65B2" w:rsidRDefault="00EB65B2" w:rsidP="005B4842">
      <w:pPr>
        <w:jc w:val="both"/>
      </w:pPr>
      <w:r w:rsidRPr="005117A6">
        <w:t xml:space="preserve">Terenske </w:t>
      </w:r>
      <w:r w:rsidR="007049AA">
        <w:t>kontrole</w:t>
      </w:r>
      <w:r w:rsidRPr="005117A6">
        <w:t xml:space="preserve"> provodi Tim za praćenje. </w:t>
      </w:r>
    </w:p>
    <w:p w14:paraId="1C29E0A3" w14:textId="77777777" w:rsidR="007049AA" w:rsidRPr="005117A6" w:rsidRDefault="007049AA" w:rsidP="005B4842">
      <w:pPr>
        <w:jc w:val="both"/>
      </w:pPr>
    </w:p>
    <w:p w14:paraId="0CD23600" w14:textId="77777777" w:rsidR="00321986" w:rsidRPr="005117A6" w:rsidRDefault="00321986" w:rsidP="005B4842">
      <w:pPr>
        <w:jc w:val="both"/>
      </w:pPr>
    </w:p>
    <w:p w14:paraId="2BC1CA97" w14:textId="1437A515" w:rsidR="00EB65B2" w:rsidRDefault="00EB65B2" w:rsidP="005B4842">
      <w:pPr>
        <w:jc w:val="both"/>
      </w:pPr>
      <w:r w:rsidRPr="005117A6">
        <w:t xml:space="preserve">O svakoj terenskoj </w:t>
      </w:r>
      <w:r w:rsidR="007049AA">
        <w:t>kontroli</w:t>
      </w:r>
      <w:r w:rsidRPr="005117A6">
        <w:t xml:space="preserve"> sačinjava se izvještaj koji sadrži:  nalaze i ocjenu realizacije projekta;  utvrđene rizike i odstupanja; </w:t>
      </w:r>
      <w:r>
        <w:t>oc</w:t>
      </w:r>
      <w:r w:rsidRPr="005117A6">
        <w:t>jenu finansijske i programske usklađenosti;  preporuke i korektivne mjere.</w:t>
      </w:r>
    </w:p>
    <w:p w14:paraId="50A65B68" w14:textId="77777777" w:rsidR="007049AA" w:rsidRPr="005117A6" w:rsidRDefault="007049AA" w:rsidP="005B4842">
      <w:pPr>
        <w:jc w:val="both"/>
      </w:pPr>
    </w:p>
    <w:p w14:paraId="4485BD60" w14:textId="77777777" w:rsidR="00EB65B2" w:rsidRDefault="00EB65B2" w:rsidP="005B4842">
      <w:pPr>
        <w:jc w:val="both"/>
      </w:pPr>
      <w:r w:rsidRPr="005117A6">
        <w:t xml:space="preserve"> Izvještaj predstavlja osnov za dalje odlučivanje</w:t>
      </w:r>
      <w:r>
        <w:t xml:space="preserve"> i</w:t>
      </w:r>
      <w:r w:rsidRPr="005117A6">
        <w:t xml:space="preserve"> dostavlja se nadležnom rukovodiocu </w:t>
      </w:r>
      <w:r w:rsidRPr="005117A6">
        <w:fldChar w:fldCharType="begin">
          <w:ffData>
            <w:name w:val="Text5"/>
            <w:enabled/>
            <w:calcOnExit w:val="0"/>
            <w:textInput>
              <w:default w:val="[načelnik/gradonačelnik/nadležna služba] "/>
            </w:textInput>
          </w:ffData>
        </w:fldChar>
      </w:r>
      <w:r w:rsidRPr="005117A6">
        <w:instrText xml:space="preserve"> FORMTEXT </w:instrText>
      </w:r>
      <w:r w:rsidRPr="005117A6">
        <w:fldChar w:fldCharType="separate"/>
      </w:r>
      <w:r w:rsidRPr="005117A6">
        <w:rPr>
          <w:noProof/>
        </w:rPr>
        <w:t xml:space="preserve">[načelnik/gradonačelnik/nadležna služba] </w:t>
      </w:r>
      <w:r w:rsidRPr="005117A6">
        <w:fldChar w:fldCharType="end"/>
      </w:r>
      <w:r w:rsidRPr="005117A6">
        <w:t>radi donošenja konačne odluke o mjerama, uključujući odobravanje isplata, korektivne mjere i postupanje u slučaju nepravilnosti.</w:t>
      </w:r>
    </w:p>
    <w:p w14:paraId="384ECDF3" w14:textId="77777777" w:rsidR="007049AA" w:rsidRPr="005117A6" w:rsidRDefault="007049AA" w:rsidP="005B4842">
      <w:pPr>
        <w:jc w:val="both"/>
      </w:pPr>
    </w:p>
    <w:p w14:paraId="59BEE065" w14:textId="22B9852D" w:rsidR="00EB65B2" w:rsidRDefault="00D27082" w:rsidP="005B4842">
      <w:pPr>
        <w:jc w:val="both"/>
      </w:pPr>
      <w:r>
        <w:t>Obrazac Izvještaj o provedenoj te</w:t>
      </w:r>
      <w:r w:rsidR="00A74378">
        <w:t>renskoj</w:t>
      </w:r>
      <w:r>
        <w:t xml:space="preserve"> kontroli (Obrazac 7.) u prilogu je ovog Uputstva. </w:t>
      </w:r>
    </w:p>
    <w:p w14:paraId="6BBEFE96" w14:textId="77777777" w:rsidR="00D27082" w:rsidRDefault="00D27082" w:rsidP="005B4842">
      <w:pPr>
        <w:jc w:val="both"/>
      </w:pPr>
    </w:p>
    <w:p w14:paraId="53B9EB6A" w14:textId="77777777" w:rsidR="00D27082" w:rsidRPr="005117A6" w:rsidRDefault="00D27082" w:rsidP="005B4842">
      <w:pPr>
        <w:jc w:val="both"/>
      </w:pPr>
    </w:p>
    <w:p w14:paraId="0AB35857" w14:textId="77777777" w:rsidR="00EB65B2" w:rsidRPr="004F2802" w:rsidRDefault="00EB65B2" w:rsidP="005B4842">
      <w:pPr>
        <w:spacing w:after="160" w:line="278" w:lineRule="auto"/>
        <w:jc w:val="both"/>
        <w:rPr>
          <w:b/>
          <w:bCs/>
        </w:rPr>
      </w:pPr>
      <w:r w:rsidRPr="004F2802">
        <w:rPr>
          <w:b/>
          <w:bCs/>
        </w:rPr>
        <w:t>IX. EVALUACIJA</w:t>
      </w:r>
    </w:p>
    <w:p w14:paraId="1D50A653" w14:textId="77777777" w:rsidR="00EB65B2" w:rsidRPr="004F2802" w:rsidRDefault="00EB65B2" w:rsidP="005B4842">
      <w:pPr>
        <w:spacing w:after="160" w:line="278" w:lineRule="auto"/>
        <w:jc w:val="both"/>
      </w:pPr>
      <w:r w:rsidRPr="004F2802">
        <w:t>Evaluacija se provodi po završetku projekta radi ocjene ukupne uspješnosti, uključujući relevantnost, efikasnost, efektivnost, uticaj i održivost.</w:t>
      </w:r>
    </w:p>
    <w:p w14:paraId="3A0971C7" w14:textId="13960210" w:rsidR="00EB65B2" w:rsidRPr="004F2802" w:rsidRDefault="00EB65B2" w:rsidP="005B4842">
      <w:pPr>
        <w:spacing w:after="160" w:line="278" w:lineRule="auto"/>
        <w:jc w:val="both"/>
      </w:pPr>
      <w:r w:rsidRPr="004F2802">
        <w:t xml:space="preserve">Rezultati evaluacije </w:t>
      </w:r>
      <w:r>
        <w:t xml:space="preserve">evidentiraju se u Zapisnik o evaluaciji i </w:t>
      </w:r>
      <w:r w:rsidRPr="004F2802">
        <w:t>koriste se za unapređenje planiranja i sistema dodjele sredstava</w:t>
      </w:r>
      <w:r w:rsidR="00321986">
        <w:t>, te izradu izvještaja o provođenju i rezultatima javnog poziva</w:t>
      </w:r>
      <w:r w:rsidRPr="004F2802">
        <w:t>.</w:t>
      </w:r>
    </w:p>
    <w:p w14:paraId="14E9C9D0" w14:textId="4FC600C6" w:rsidR="00D27082" w:rsidRDefault="00D27082" w:rsidP="005B4842">
      <w:pPr>
        <w:jc w:val="both"/>
      </w:pPr>
      <w:r>
        <w:lastRenderedPageBreak/>
        <w:t xml:space="preserve">Obrazac Zapisnik o evaluaciji  (Obrazac 8.) u prilogu je ovog Uputstva. </w:t>
      </w:r>
    </w:p>
    <w:p w14:paraId="1F615AF0" w14:textId="77777777" w:rsidR="007049AA" w:rsidRDefault="007049AA" w:rsidP="005B4842">
      <w:pPr>
        <w:jc w:val="both"/>
      </w:pPr>
    </w:p>
    <w:p w14:paraId="175EBEE7" w14:textId="10187268" w:rsidR="00EB65B2" w:rsidRPr="004F2802" w:rsidRDefault="00EB65B2" w:rsidP="005B4842">
      <w:pPr>
        <w:spacing w:after="160" w:line="278" w:lineRule="auto"/>
        <w:jc w:val="both"/>
      </w:pPr>
    </w:p>
    <w:p w14:paraId="28CE7511" w14:textId="77777777" w:rsidR="00EB65B2" w:rsidRPr="004F2802" w:rsidRDefault="00EB65B2" w:rsidP="005B4842">
      <w:pPr>
        <w:spacing w:after="160" w:line="278" w:lineRule="auto"/>
        <w:jc w:val="both"/>
        <w:rPr>
          <w:b/>
          <w:bCs/>
        </w:rPr>
      </w:pPr>
      <w:r w:rsidRPr="004F2802">
        <w:rPr>
          <w:b/>
          <w:bCs/>
        </w:rPr>
        <w:t>X. NEPRAVILNOSTI I KOREKTIVNE MJERE</w:t>
      </w:r>
    </w:p>
    <w:p w14:paraId="136DDC27" w14:textId="4C38BF4D" w:rsidR="00EB65B2" w:rsidRPr="004F2802" w:rsidRDefault="00EB65B2" w:rsidP="005B4842">
      <w:pPr>
        <w:spacing w:after="160" w:line="278" w:lineRule="auto"/>
        <w:jc w:val="both"/>
      </w:pPr>
      <w:r w:rsidRPr="004F2802">
        <w:t xml:space="preserve">U slučaju utvrđenih nepravilnosti ili odstupanja, Tijelo za praćenje predlaže korektivne mjere </w:t>
      </w:r>
      <w:r w:rsidRPr="00EB65B2">
        <w:t xml:space="preserve">u skladu sa Tabelom za određivanje mjera (Prilog </w:t>
      </w:r>
      <w:r w:rsidR="007049AA">
        <w:t>2</w:t>
      </w:r>
      <w:r w:rsidR="00EA7499">
        <w:t>.</w:t>
      </w:r>
      <w:r w:rsidRPr="00EB65B2">
        <w:t>)</w:t>
      </w:r>
    </w:p>
    <w:p w14:paraId="78A388E0" w14:textId="77777777" w:rsidR="00EB65B2" w:rsidRPr="004F2802" w:rsidRDefault="00EB65B2" w:rsidP="005B4842">
      <w:pPr>
        <w:spacing w:after="160" w:line="278" w:lineRule="auto"/>
        <w:jc w:val="both"/>
      </w:pPr>
    </w:p>
    <w:p w14:paraId="34C6E8DF" w14:textId="77777777" w:rsidR="00EB65B2" w:rsidRPr="004F2802" w:rsidRDefault="00EB65B2" w:rsidP="005B4842">
      <w:pPr>
        <w:spacing w:after="160" w:line="278" w:lineRule="auto"/>
        <w:jc w:val="both"/>
        <w:rPr>
          <w:b/>
          <w:bCs/>
        </w:rPr>
      </w:pPr>
      <w:r w:rsidRPr="004F2802">
        <w:rPr>
          <w:b/>
          <w:bCs/>
        </w:rPr>
        <w:t>XI. KONTROLNI DOSJE</w:t>
      </w:r>
    </w:p>
    <w:p w14:paraId="4DE07147" w14:textId="77777777" w:rsidR="00EB65B2" w:rsidRPr="004F2802" w:rsidRDefault="00EB65B2" w:rsidP="005B4842">
      <w:pPr>
        <w:spacing w:after="160" w:line="278" w:lineRule="auto"/>
        <w:jc w:val="both"/>
      </w:pPr>
      <w:r w:rsidRPr="004F2802">
        <w:t>Za svaki projekat vodi se jedinstveni kontrolni dosje koji sadrži kompletnu dokumentaciju od prijave do zatvaranja projekta i mora osigurati potpuni revizijski trag.</w:t>
      </w:r>
    </w:p>
    <w:p w14:paraId="36668876" w14:textId="77777777" w:rsidR="00EB65B2" w:rsidRPr="004F2802" w:rsidRDefault="00EB65B2" w:rsidP="005B4842">
      <w:pPr>
        <w:spacing w:after="160" w:line="278" w:lineRule="auto"/>
        <w:jc w:val="both"/>
      </w:pPr>
    </w:p>
    <w:p w14:paraId="168DDE47" w14:textId="77777777" w:rsidR="00EB65B2" w:rsidRPr="004F2802" w:rsidRDefault="00EB65B2" w:rsidP="005B4842">
      <w:pPr>
        <w:spacing w:after="160" w:line="278" w:lineRule="auto"/>
        <w:jc w:val="both"/>
        <w:rPr>
          <w:b/>
          <w:bCs/>
        </w:rPr>
      </w:pPr>
      <w:r w:rsidRPr="004F2802">
        <w:rPr>
          <w:b/>
          <w:bCs/>
        </w:rPr>
        <w:t>XII. IZVJEŠTAVANJE I UNAPREĐENJE SISTEMA</w:t>
      </w:r>
    </w:p>
    <w:p w14:paraId="5B95013D" w14:textId="77777777" w:rsidR="00EB65B2" w:rsidRDefault="00EB65B2" w:rsidP="005B4842">
      <w:pPr>
        <w:jc w:val="both"/>
      </w:pPr>
      <w:r w:rsidRPr="004F2802">
        <w:t xml:space="preserve">Tijelo za praćenje jednom godišnje izrađuje </w:t>
      </w:r>
      <w:r w:rsidRPr="005117A6">
        <w:t xml:space="preserve">finalni </w:t>
      </w:r>
      <w:r w:rsidRPr="004F2802">
        <w:t xml:space="preserve"> izvještaj o </w:t>
      </w:r>
      <w:r w:rsidRPr="005117A6">
        <w:t>radu</w:t>
      </w:r>
      <w:r w:rsidRPr="004F2802">
        <w:t>, uključujući analizu rezultata, nepravilnosti i preporuke za unapređenje sistema.</w:t>
      </w:r>
      <w:r w:rsidRPr="005117A6">
        <w:t xml:space="preserve"> </w:t>
      </w:r>
    </w:p>
    <w:p w14:paraId="61FC88DF" w14:textId="77777777" w:rsidR="007049AA" w:rsidRPr="005117A6" w:rsidRDefault="007049AA" w:rsidP="005B4842">
      <w:pPr>
        <w:jc w:val="both"/>
      </w:pPr>
    </w:p>
    <w:p w14:paraId="7E5D6AE1" w14:textId="77777777" w:rsidR="00EB65B2" w:rsidRDefault="00EB65B2" w:rsidP="005B4842">
      <w:pPr>
        <w:jc w:val="both"/>
      </w:pPr>
      <w:r w:rsidRPr="005117A6">
        <w:t>Izvještaj o radu  obavezno sadrži i poseban dio koji se odnosi na nalaze praćenja, identifikovane rizike i odstupanja, kao i predložene i/ili naložene korektivne mjere, uključujući rokove za njihovo provođenje i odgovorna lica za realizaciju.</w:t>
      </w:r>
    </w:p>
    <w:p w14:paraId="329A63A9" w14:textId="77777777" w:rsidR="007049AA" w:rsidRPr="005117A6" w:rsidRDefault="007049AA" w:rsidP="005B4842">
      <w:pPr>
        <w:jc w:val="both"/>
      </w:pPr>
    </w:p>
    <w:p w14:paraId="60DA4541" w14:textId="77777777" w:rsidR="00EB65B2" w:rsidRPr="005117A6" w:rsidRDefault="00EB65B2" w:rsidP="005B4842">
      <w:pPr>
        <w:jc w:val="both"/>
      </w:pPr>
      <w:r w:rsidRPr="005117A6">
        <w:t xml:space="preserve">Izvještaj se dostavlja nadležnom rukovodiocu  </w:t>
      </w:r>
      <w:r w:rsidRPr="005117A6">
        <w:fldChar w:fldCharType="begin">
          <w:ffData>
            <w:name w:val="Text5"/>
            <w:enabled/>
            <w:calcOnExit w:val="0"/>
            <w:textInput>
              <w:default w:val="[načelnik/gradonačelnik/nadležna služba] "/>
            </w:textInput>
          </w:ffData>
        </w:fldChar>
      </w:r>
      <w:r w:rsidRPr="005117A6">
        <w:instrText xml:space="preserve"> FORMTEXT </w:instrText>
      </w:r>
      <w:r w:rsidRPr="005117A6">
        <w:fldChar w:fldCharType="separate"/>
      </w:r>
      <w:r w:rsidRPr="005117A6">
        <w:rPr>
          <w:noProof/>
        </w:rPr>
        <w:t xml:space="preserve">[načelnik/gradonačelnik/nadležna služba] </w:t>
      </w:r>
      <w:r w:rsidRPr="005117A6">
        <w:fldChar w:fldCharType="end"/>
      </w:r>
      <w:r w:rsidRPr="005117A6">
        <w:t>radi donošenja konačne odluke.</w:t>
      </w:r>
    </w:p>
    <w:p w14:paraId="79502D53" w14:textId="77777777" w:rsidR="00EB65B2" w:rsidRPr="004F2802" w:rsidRDefault="00EB65B2" w:rsidP="005B4842">
      <w:pPr>
        <w:spacing w:after="160" w:line="278" w:lineRule="auto"/>
        <w:jc w:val="both"/>
      </w:pPr>
    </w:p>
    <w:p w14:paraId="13E7C7B6" w14:textId="77777777" w:rsidR="00EB65B2" w:rsidRPr="004F2802" w:rsidRDefault="00EB65B2" w:rsidP="005B4842">
      <w:pPr>
        <w:spacing w:after="160" w:line="278" w:lineRule="auto"/>
        <w:jc w:val="both"/>
        <w:rPr>
          <w:b/>
          <w:bCs/>
        </w:rPr>
      </w:pPr>
      <w:r w:rsidRPr="004F2802">
        <w:rPr>
          <w:b/>
          <w:bCs/>
        </w:rPr>
        <w:t>XIII. ZAVRŠNE ODREDBE</w:t>
      </w:r>
    </w:p>
    <w:p w14:paraId="3DE53CA7" w14:textId="32DD7AF4" w:rsidR="00EB65B2" w:rsidRDefault="00EB65B2" w:rsidP="005B4842">
      <w:pPr>
        <w:jc w:val="both"/>
      </w:pPr>
      <w:r w:rsidRPr="004F2802">
        <w:t xml:space="preserve">Ovo Uputstvo stupa na snagu danom donošenja i primjenjuje se kao jedinstveni okvir </w:t>
      </w:r>
      <w:r w:rsidR="00E873C6" w:rsidRPr="00E873C6">
        <w:t>za sve projekte neprofitnih organizacija, javnih ustanova, privrednih subjekata i drugih pravnih lica</w:t>
      </w:r>
      <w:r w:rsidR="005B4842" w:rsidRPr="005B4842">
        <w:t>, u zavisnosti od oblasti javnog poziva</w:t>
      </w:r>
      <w:r w:rsidR="005B4842">
        <w:t xml:space="preserve">, a </w:t>
      </w:r>
      <w:r w:rsidRPr="004F2802">
        <w:t xml:space="preserve">koji se finansiraju iz budžeta </w:t>
      </w:r>
      <w:r w:rsidR="007049AA" w:rsidRPr="005117A6">
        <w:fldChar w:fldCharType="begin">
          <w:ffData>
            <w:name w:val="Text2"/>
            <w:enabled/>
            <w:calcOnExit w:val="0"/>
            <w:textInput>
              <w:default w:val="[naziv JLS]"/>
            </w:textInput>
          </w:ffData>
        </w:fldChar>
      </w:r>
      <w:r w:rsidR="007049AA" w:rsidRPr="005117A6">
        <w:instrText xml:space="preserve"> FORMTEXT </w:instrText>
      </w:r>
      <w:r w:rsidR="007049AA" w:rsidRPr="005117A6">
        <w:fldChar w:fldCharType="separate"/>
      </w:r>
      <w:r w:rsidR="007049AA" w:rsidRPr="005117A6">
        <w:rPr>
          <w:noProof/>
        </w:rPr>
        <w:t>[naziv JLS]</w:t>
      </w:r>
      <w:r w:rsidR="007049AA" w:rsidRPr="005117A6">
        <w:fldChar w:fldCharType="end"/>
      </w:r>
      <w:r w:rsidRPr="004F2802">
        <w:t>.</w:t>
      </w:r>
    </w:p>
    <w:p w14:paraId="449C31F8" w14:textId="77777777" w:rsidR="00672640" w:rsidRDefault="00672640" w:rsidP="005B4842">
      <w:pPr>
        <w:jc w:val="both"/>
      </w:pPr>
    </w:p>
    <w:p w14:paraId="2660B4D3" w14:textId="77777777" w:rsidR="00672640" w:rsidRDefault="00672640" w:rsidP="005B4842">
      <w:pPr>
        <w:jc w:val="both"/>
      </w:pPr>
    </w:p>
    <w:p w14:paraId="624574DB" w14:textId="77777777" w:rsidR="00672640" w:rsidRDefault="00672640" w:rsidP="005B4842">
      <w:pPr>
        <w:jc w:val="both"/>
      </w:pPr>
    </w:p>
    <w:p w14:paraId="3F499652" w14:textId="0C84CAE6" w:rsidR="00672640" w:rsidRDefault="00672640" w:rsidP="005B4842">
      <w:pPr>
        <w:jc w:val="both"/>
      </w:pPr>
      <w:r>
        <w:t xml:space="preserve"> </w:t>
      </w:r>
    </w:p>
    <w:p w14:paraId="1A5FAD4C" w14:textId="77777777" w:rsidR="00672640" w:rsidRDefault="00672640" w:rsidP="005B4842">
      <w:pPr>
        <w:jc w:val="both"/>
      </w:pPr>
    </w:p>
    <w:p w14:paraId="40B5C6B8" w14:textId="77777777" w:rsidR="00672640" w:rsidRDefault="00672640" w:rsidP="005B4842">
      <w:pPr>
        <w:jc w:val="both"/>
      </w:pPr>
    </w:p>
    <w:p w14:paraId="266C54B2" w14:textId="77777777" w:rsidR="00672640" w:rsidRDefault="00672640" w:rsidP="005B4842">
      <w:pPr>
        <w:jc w:val="both"/>
      </w:pPr>
    </w:p>
    <w:p w14:paraId="16B1E405" w14:textId="77777777" w:rsidR="0074586F" w:rsidRPr="004F2802" w:rsidRDefault="0074586F" w:rsidP="005B4842">
      <w:pPr>
        <w:spacing w:after="160" w:line="278" w:lineRule="auto"/>
        <w:jc w:val="both"/>
      </w:pPr>
    </w:p>
    <w:p w14:paraId="1E549A9A" w14:textId="77777777" w:rsidR="00EB65B2" w:rsidRPr="005117A6" w:rsidRDefault="00EB65B2" w:rsidP="005B4842">
      <w:pPr>
        <w:jc w:val="both"/>
      </w:pPr>
    </w:p>
    <w:p w14:paraId="01A8DC35" w14:textId="225982E8" w:rsidR="00EB65B2" w:rsidRPr="00672640" w:rsidRDefault="00EB65B2" w:rsidP="005B4842">
      <w:pPr>
        <w:ind w:firstLine="720"/>
        <w:jc w:val="both"/>
      </w:pPr>
    </w:p>
    <w:sectPr w:rsidR="00EB65B2" w:rsidRPr="00672640" w:rsidSect="0032198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7946" w14:textId="77777777" w:rsidR="007D111E" w:rsidRDefault="007D111E" w:rsidP="006A7EE8">
      <w:r>
        <w:separator/>
      </w:r>
    </w:p>
  </w:endnote>
  <w:endnote w:type="continuationSeparator" w:id="0">
    <w:p w14:paraId="4C71B43E" w14:textId="77777777" w:rsidR="007D111E" w:rsidRDefault="007D111E" w:rsidP="006A7EE8">
      <w:r>
        <w:continuationSeparator/>
      </w:r>
    </w:p>
  </w:endnote>
  <w:endnote w:type="continuationNotice" w:id="1">
    <w:p w14:paraId="7CF61CFB" w14:textId="77777777" w:rsidR="007D111E" w:rsidRDefault="007D1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8436" w14:textId="77777777" w:rsidR="007D111E" w:rsidRDefault="007D111E" w:rsidP="006A7EE8">
      <w:r>
        <w:separator/>
      </w:r>
    </w:p>
  </w:footnote>
  <w:footnote w:type="continuationSeparator" w:id="0">
    <w:p w14:paraId="352D49F1" w14:textId="77777777" w:rsidR="007D111E" w:rsidRDefault="007D111E" w:rsidP="006A7EE8">
      <w:r>
        <w:continuationSeparator/>
      </w:r>
    </w:p>
  </w:footnote>
  <w:footnote w:type="continuationNotice" w:id="1">
    <w:p w14:paraId="6373A2FF" w14:textId="77777777" w:rsidR="007D111E" w:rsidRDefault="007D111E"/>
  </w:footnote>
  <w:footnote w:id="2">
    <w:p w14:paraId="6BDC9A55" w14:textId="39DFE0A2" w:rsidR="00DE3E05" w:rsidRDefault="00DE3E05">
      <w:pPr>
        <w:pStyle w:val="FootnoteText"/>
      </w:pPr>
    </w:p>
  </w:footnote>
  <w:footnote w:id="3">
    <w:p w14:paraId="2F0490BC" w14:textId="0DDA0A05" w:rsidR="00321986" w:rsidRDefault="00321986">
      <w:pPr>
        <w:pStyle w:val="FootnoteText"/>
      </w:pPr>
      <w:r>
        <w:rPr>
          <w:rStyle w:val="FootnoteReference"/>
        </w:rPr>
        <w:footnoteRef/>
      </w:r>
      <w:r>
        <w:t xml:space="preserve"> </w:t>
      </w:r>
      <w:r>
        <w:t>Uskladiti sa praksom i mogućnostima JLS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B91"/>
    <w:multiLevelType w:val="hybridMultilevel"/>
    <w:tmpl w:val="9EB4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1AB8"/>
    <w:multiLevelType w:val="hybridMultilevel"/>
    <w:tmpl w:val="784A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1198"/>
    <w:multiLevelType w:val="hybridMultilevel"/>
    <w:tmpl w:val="6A7ED452"/>
    <w:lvl w:ilvl="0" w:tplc="84B489F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064A5"/>
    <w:multiLevelType w:val="multilevel"/>
    <w:tmpl w:val="A8F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81AC8"/>
    <w:multiLevelType w:val="hybridMultilevel"/>
    <w:tmpl w:val="31725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B73D49"/>
    <w:multiLevelType w:val="hybridMultilevel"/>
    <w:tmpl w:val="9EE0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77536"/>
    <w:multiLevelType w:val="hybridMultilevel"/>
    <w:tmpl w:val="EB06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33936"/>
    <w:multiLevelType w:val="hybridMultilevel"/>
    <w:tmpl w:val="33EEA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707FC"/>
    <w:multiLevelType w:val="hybridMultilevel"/>
    <w:tmpl w:val="11E01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D274B2"/>
    <w:multiLevelType w:val="multilevel"/>
    <w:tmpl w:val="29F0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A077A"/>
    <w:multiLevelType w:val="hybridMultilevel"/>
    <w:tmpl w:val="1CDA29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134B81"/>
    <w:multiLevelType w:val="multilevel"/>
    <w:tmpl w:val="A4C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25816"/>
    <w:multiLevelType w:val="hybridMultilevel"/>
    <w:tmpl w:val="10EA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C317F"/>
    <w:multiLevelType w:val="multilevel"/>
    <w:tmpl w:val="312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A58BC"/>
    <w:multiLevelType w:val="multilevel"/>
    <w:tmpl w:val="EE94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C7BA5"/>
    <w:multiLevelType w:val="hybridMultilevel"/>
    <w:tmpl w:val="6BBC7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94D24"/>
    <w:multiLevelType w:val="hybridMultilevel"/>
    <w:tmpl w:val="A0C4F0D6"/>
    <w:lvl w:ilvl="0" w:tplc="F3DE1C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C2429"/>
    <w:multiLevelType w:val="hybridMultilevel"/>
    <w:tmpl w:val="2604ED84"/>
    <w:lvl w:ilvl="0" w:tplc="FED84B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E25B4"/>
    <w:multiLevelType w:val="hybridMultilevel"/>
    <w:tmpl w:val="E76CA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424033"/>
    <w:multiLevelType w:val="hybridMultilevel"/>
    <w:tmpl w:val="27F0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44F36"/>
    <w:multiLevelType w:val="hybridMultilevel"/>
    <w:tmpl w:val="239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6777C"/>
    <w:multiLevelType w:val="multilevel"/>
    <w:tmpl w:val="568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337EE"/>
    <w:multiLevelType w:val="hybridMultilevel"/>
    <w:tmpl w:val="C886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E6383"/>
    <w:multiLevelType w:val="multilevel"/>
    <w:tmpl w:val="C43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32B06"/>
    <w:multiLevelType w:val="hybridMultilevel"/>
    <w:tmpl w:val="85AC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11938"/>
    <w:multiLevelType w:val="hybridMultilevel"/>
    <w:tmpl w:val="DF625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539B8"/>
    <w:multiLevelType w:val="hybridMultilevel"/>
    <w:tmpl w:val="F4F0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74DBE"/>
    <w:multiLevelType w:val="hybridMultilevel"/>
    <w:tmpl w:val="EEF60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749E1"/>
    <w:multiLevelType w:val="hybridMultilevel"/>
    <w:tmpl w:val="EDD2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519B5"/>
    <w:multiLevelType w:val="multilevel"/>
    <w:tmpl w:val="E0FC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244492">
    <w:abstractNumId w:val="9"/>
  </w:num>
  <w:num w:numId="2" w16cid:durableId="554631853">
    <w:abstractNumId w:val="23"/>
  </w:num>
  <w:num w:numId="3" w16cid:durableId="2057731713">
    <w:abstractNumId w:val="21"/>
  </w:num>
  <w:num w:numId="4" w16cid:durableId="1348100400">
    <w:abstractNumId w:val="15"/>
  </w:num>
  <w:num w:numId="5" w16cid:durableId="1363945442">
    <w:abstractNumId w:val="10"/>
  </w:num>
  <w:num w:numId="6" w16cid:durableId="516238035">
    <w:abstractNumId w:val="4"/>
  </w:num>
  <w:num w:numId="7" w16cid:durableId="368266781">
    <w:abstractNumId w:val="25"/>
  </w:num>
  <w:num w:numId="8" w16cid:durableId="995719849">
    <w:abstractNumId w:val="1"/>
  </w:num>
  <w:num w:numId="9" w16cid:durableId="883828355">
    <w:abstractNumId w:val="5"/>
  </w:num>
  <w:num w:numId="10" w16cid:durableId="733238717">
    <w:abstractNumId w:val="18"/>
  </w:num>
  <w:num w:numId="11" w16cid:durableId="1882664127">
    <w:abstractNumId w:val="26"/>
  </w:num>
  <w:num w:numId="12" w16cid:durableId="1391341933">
    <w:abstractNumId w:val="20"/>
  </w:num>
  <w:num w:numId="13" w16cid:durableId="782069964">
    <w:abstractNumId w:val="6"/>
  </w:num>
  <w:num w:numId="14" w16cid:durableId="1990094722">
    <w:abstractNumId w:val="2"/>
  </w:num>
  <w:num w:numId="15" w16cid:durableId="602499794">
    <w:abstractNumId w:val="22"/>
  </w:num>
  <w:num w:numId="16" w16cid:durableId="687947443">
    <w:abstractNumId w:val="0"/>
  </w:num>
  <w:num w:numId="17" w16cid:durableId="713777179">
    <w:abstractNumId w:val="7"/>
  </w:num>
  <w:num w:numId="18" w16cid:durableId="124742690">
    <w:abstractNumId w:val="8"/>
  </w:num>
  <w:num w:numId="19" w16cid:durableId="137844754">
    <w:abstractNumId w:val="27"/>
  </w:num>
  <w:num w:numId="20" w16cid:durableId="1158037861">
    <w:abstractNumId w:val="28"/>
  </w:num>
  <w:num w:numId="21" w16cid:durableId="603849778">
    <w:abstractNumId w:val="14"/>
  </w:num>
  <w:num w:numId="22" w16cid:durableId="1512991237">
    <w:abstractNumId w:val="3"/>
  </w:num>
  <w:num w:numId="23" w16cid:durableId="1795976417">
    <w:abstractNumId w:val="29"/>
  </w:num>
  <w:num w:numId="24" w16cid:durableId="1790273909">
    <w:abstractNumId w:val="13"/>
  </w:num>
  <w:num w:numId="25" w16cid:durableId="1848208382">
    <w:abstractNumId w:val="11"/>
  </w:num>
  <w:num w:numId="26" w16cid:durableId="1875774962">
    <w:abstractNumId w:val="12"/>
  </w:num>
  <w:num w:numId="27" w16cid:durableId="1925453570">
    <w:abstractNumId w:val="19"/>
  </w:num>
  <w:num w:numId="28" w16cid:durableId="1943410365">
    <w:abstractNumId w:val="17"/>
  </w:num>
  <w:num w:numId="29" w16cid:durableId="233199877">
    <w:abstractNumId w:val="24"/>
  </w:num>
  <w:num w:numId="30" w16cid:durableId="994147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7B"/>
    <w:rsid w:val="000133F0"/>
    <w:rsid w:val="0006581F"/>
    <w:rsid w:val="00084A18"/>
    <w:rsid w:val="000E3676"/>
    <w:rsid w:val="00142E92"/>
    <w:rsid w:val="001A2D6F"/>
    <w:rsid w:val="001B4A4E"/>
    <w:rsid w:val="0021729F"/>
    <w:rsid w:val="00270470"/>
    <w:rsid w:val="00291590"/>
    <w:rsid w:val="002A6B77"/>
    <w:rsid w:val="002F315A"/>
    <w:rsid w:val="00300662"/>
    <w:rsid w:val="003067A3"/>
    <w:rsid w:val="00310717"/>
    <w:rsid w:val="00321986"/>
    <w:rsid w:val="003D33B3"/>
    <w:rsid w:val="003E2B7B"/>
    <w:rsid w:val="00404C61"/>
    <w:rsid w:val="0045157B"/>
    <w:rsid w:val="004A5440"/>
    <w:rsid w:val="004A6E4E"/>
    <w:rsid w:val="004E27EE"/>
    <w:rsid w:val="004F2802"/>
    <w:rsid w:val="00502DF8"/>
    <w:rsid w:val="005117A6"/>
    <w:rsid w:val="00577B22"/>
    <w:rsid w:val="005971DF"/>
    <w:rsid w:val="005B4842"/>
    <w:rsid w:val="00660E3A"/>
    <w:rsid w:val="00672640"/>
    <w:rsid w:val="006A7EE8"/>
    <w:rsid w:val="006C6662"/>
    <w:rsid w:val="006F797F"/>
    <w:rsid w:val="00703D2F"/>
    <w:rsid w:val="007049AA"/>
    <w:rsid w:val="00717155"/>
    <w:rsid w:val="0074586F"/>
    <w:rsid w:val="00792EDB"/>
    <w:rsid w:val="0079536D"/>
    <w:rsid w:val="007B3126"/>
    <w:rsid w:val="007D111E"/>
    <w:rsid w:val="00806CF6"/>
    <w:rsid w:val="008A5B03"/>
    <w:rsid w:val="008B7E40"/>
    <w:rsid w:val="00953201"/>
    <w:rsid w:val="0097516D"/>
    <w:rsid w:val="009B1B25"/>
    <w:rsid w:val="00A53376"/>
    <w:rsid w:val="00A74378"/>
    <w:rsid w:val="00AD1F01"/>
    <w:rsid w:val="00AE2CD7"/>
    <w:rsid w:val="00B66C8B"/>
    <w:rsid w:val="00B812B5"/>
    <w:rsid w:val="00C36863"/>
    <w:rsid w:val="00C36C66"/>
    <w:rsid w:val="00CA0032"/>
    <w:rsid w:val="00CB4155"/>
    <w:rsid w:val="00D12A32"/>
    <w:rsid w:val="00D27082"/>
    <w:rsid w:val="00DA7258"/>
    <w:rsid w:val="00DE3E05"/>
    <w:rsid w:val="00E11EA1"/>
    <w:rsid w:val="00E42511"/>
    <w:rsid w:val="00E865CE"/>
    <w:rsid w:val="00E873C6"/>
    <w:rsid w:val="00E95A7D"/>
    <w:rsid w:val="00EA7499"/>
    <w:rsid w:val="00EB65B2"/>
    <w:rsid w:val="00ED378E"/>
    <w:rsid w:val="00EF58C5"/>
    <w:rsid w:val="00F6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09B3"/>
  <w15:chartTrackingRefBased/>
  <w15:docId w15:val="{79C035E6-BDC4-41AF-87FC-971322D5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26"/>
    <w:pPr>
      <w:spacing w:after="0" w:line="240" w:lineRule="auto"/>
    </w:pPr>
    <w:rPr>
      <w:rFonts w:ascii="Times New Roman" w:eastAsia="Times New Roman" w:hAnsi="Times New Roman" w:cs="Times New Roman"/>
      <w:kern w:val="0"/>
      <w:lang w:val="bs-Latn-BA" w:eastAsia="en-GB"/>
      <w14:ligatures w14:val="none"/>
    </w:rPr>
  </w:style>
  <w:style w:type="paragraph" w:styleId="Heading1">
    <w:name w:val="heading 1"/>
    <w:basedOn w:val="Normal"/>
    <w:next w:val="Normal"/>
    <w:link w:val="Heading1Char"/>
    <w:uiPriority w:val="9"/>
    <w:qFormat/>
    <w:rsid w:val="003E2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B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B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B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B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7B"/>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semiHidden/>
    <w:rsid w:val="003E2B7B"/>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semiHidden/>
    <w:rsid w:val="003E2B7B"/>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3E2B7B"/>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3E2B7B"/>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3E2B7B"/>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3E2B7B"/>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3E2B7B"/>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3E2B7B"/>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3E2B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B7B"/>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3E2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B7B"/>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3E2B7B"/>
    <w:pPr>
      <w:spacing w:before="160"/>
      <w:jc w:val="center"/>
    </w:pPr>
    <w:rPr>
      <w:i/>
      <w:iCs/>
      <w:color w:val="404040" w:themeColor="text1" w:themeTint="BF"/>
    </w:rPr>
  </w:style>
  <w:style w:type="character" w:customStyle="1" w:styleId="QuoteChar">
    <w:name w:val="Quote Char"/>
    <w:basedOn w:val="DefaultParagraphFont"/>
    <w:link w:val="Quote"/>
    <w:uiPriority w:val="29"/>
    <w:rsid w:val="003E2B7B"/>
    <w:rPr>
      <w:i/>
      <w:iCs/>
      <w:color w:val="404040" w:themeColor="text1" w:themeTint="BF"/>
      <w:lang w:val="bs-Latn-BA"/>
    </w:rPr>
  </w:style>
  <w:style w:type="paragraph" w:styleId="ListParagraph">
    <w:name w:val="List Paragraph"/>
    <w:basedOn w:val="Normal"/>
    <w:uiPriority w:val="34"/>
    <w:qFormat/>
    <w:rsid w:val="003E2B7B"/>
    <w:pPr>
      <w:ind w:left="720"/>
      <w:contextualSpacing/>
    </w:pPr>
  </w:style>
  <w:style w:type="character" w:styleId="IntenseEmphasis">
    <w:name w:val="Intense Emphasis"/>
    <w:basedOn w:val="DefaultParagraphFont"/>
    <w:uiPriority w:val="21"/>
    <w:qFormat/>
    <w:rsid w:val="003E2B7B"/>
    <w:rPr>
      <w:i/>
      <w:iCs/>
      <w:color w:val="0F4761" w:themeColor="accent1" w:themeShade="BF"/>
    </w:rPr>
  </w:style>
  <w:style w:type="paragraph" w:styleId="IntenseQuote">
    <w:name w:val="Intense Quote"/>
    <w:basedOn w:val="Normal"/>
    <w:next w:val="Normal"/>
    <w:link w:val="IntenseQuoteChar"/>
    <w:uiPriority w:val="30"/>
    <w:qFormat/>
    <w:rsid w:val="003E2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B7B"/>
    <w:rPr>
      <w:i/>
      <w:iCs/>
      <w:color w:val="0F4761" w:themeColor="accent1" w:themeShade="BF"/>
      <w:lang w:val="bs-Latn-BA"/>
    </w:rPr>
  </w:style>
  <w:style w:type="character" w:styleId="IntenseReference">
    <w:name w:val="Intense Reference"/>
    <w:basedOn w:val="DefaultParagraphFont"/>
    <w:uiPriority w:val="32"/>
    <w:qFormat/>
    <w:rsid w:val="003E2B7B"/>
    <w:rPr>
      <w:b/>
      <w:bCs/>
      <w:smallCaps/>
      <w:color w:val="0F4761" w:themeColor="accent1" w:themeShade="BF"/>
      <w:spacing w:val="5"/>
    </w:rPr>
  </w:style>
  <w:style w:type="paragraph" w:styleId="FootnoteText">
    <w:name w:val="footnote text"/>
    <w:basedOn w:val="Normal"/>
    <w:link w:val="FootnoteTextChar"/>
    <w:uiPriority w:val="99"/>
    <w:semiHidden/>
    <w:unhideWhenUsed/>
    <w:rsid w:val="006A7EE8"/>
    <w:rPr>
      <w:sz w:val="20"/>
      <w:szCs w:val="20"/>
    </w:rPr>
  </w:style>
  <w:style w:type="character" w:customStyle="1" w:styleId="FootnoteTextChar">
    <w:name w:val="Footnote Text Char"/>
    <w:basedOn w:val="DefaultParagraphFont"/>
    <w:link w:val="FootnoteText"/>
    <w:uiPriority w:val="99"/>
    <w:semiHidden/>
    <w:rsid w:val="006A7EE8"/>
    <w:rPr>
      <w:sz w:val="20"/>
      <w:szCs w:val="20"/>
      <w:lang w:val="bs-Latn-BA"/>
    </w:rPr>
  </w:style>
  <w:style w:type="character" w:styleId="FootnoteReference">
    <w:name w:val="footnote reference"/>
    <w:basedOn w:val="DefaultParagraphFont"/>
    <w:uiPriority w:val="99"/>
    <w:semiHidden/>
    <w:unhideWhenUsed/>
    <w:rsid w:val="006A7EE8"/>
    <w:rPr>
      <w:vertAlign w:val="superscript"/>
    </w:rPr>
  </w:style>
  <w:style w:type="paragraph" w:styleId="NoSpacing">
    <w:name w:val="No Spacing"/>
    <w:link w:val="NoSpacingChar"/>
    <w:uiPriority w:val="1"/>
    <w:qFormat/>
    <w:rsid w:val="0032198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321986"/>
    <w:rPr>
      <w:rFonts w:eastAsiaTheme="minorEastAsia"/>
      <w:kern w:val="0"/>
      <w:sz w:val="22"/>
      <w:szCs w:val="22"/>
      <w:lang w:val="en-US"/>
      <w14:ligatures w14:val="none"/>
    </w:rPr>
  </w:style>
  <w:style w:type="paragraph" w:styleId="Header">
    <w:name w:val="header"/>
    <w:basedOn w:val="Normal"/>
    <w:link w:val="HeaderChar"/>
    <w:uiPriority w:val="99"/>
    <w:semiHidden/>
    <w:unhideWhenUsed/>
    <w:rsid w:val="00A53376"/>
    <w:pPr>
      <w:tabs>
        <w:tab w:val="center" w:pos="4680"/>
        <w:tab w:val="right" w:pos="9360"/>
      </w:tabs>
    </w:pPr>
  </w:style>
  <w:style w:type="character" w:customStyle="1" w:styleId="HeaderChar">
    <w:name w:val="Header Char"/>
    <w:basedOn w:val="DefaultParagraphFont"/>
    <w:link w:val="Header"/>
    <w:uiPriority w:val="99"/>
    <w:semiHidden/>
    <w:rsid w:val="00A53376"/>
    <w:rPr>
      <w:rFonts w:ascii="Times New Roman" w:eastAsia="Times New Roman" w:hAnsi="Times New Roman" w:cs="Times New Roman"/>
      <w:kern w:val="0"/>
      <w:lang w:val="bs-Latn-BA" w:eastAsia="en-GB"/>
      <w14:ligatures w14:val="none"/>
    </w:rPr>
  </w:style>
  <w:style w:type="paragraph" w:styleId="Footer">
    <w:name w:val="footer"/>
    <w:basedOn w:val="Normal"/>
    <w:link w:val="FooterChar"/>
    <w:uiPriority w:val="99"/>
    <w:semiHidden/>
    <w:unhideWhenUsed/>
    <w:rsid w:val="00A53376"/>
    <w:pPr>
      <w:tabs>
        <w:tab w:val="center" w:pos="4680"/>
        <w:tab w:val="right" w:pos="9360"/>
      </w:tabs>
    </w:pPr>
  </w:style>
  <w:style w:type="character" w:customStyle="1" w:styleId="FooterChar">
    <w:name w:val="Footer Char"/>
    <w:basedOn w:val="DefaultParagraphFont"/>
    <w:link w:val="Footer"/>
    <w:uiPriority w:val="99"/>
    <w:semiHidden/>
    <w:rsid w:val="00A53376"/>
    <w:rPr>
      <w:rFonts w:ascii="Times New Roman" w:eastAsia="Times New Roman" w:hAnsi="Times New Roman" w:cs="Times New Roman"/>
      <w:kern w:val="0"/>
      <w:lang w:val="bs-Latn-BA" w:eastAsia="en-GB"/>
      <w14:ligatures w14:val="none"/>
    </w:rPr>
  </w:style>
  <w:style w:type="character" w:styleId="CommentReference">
    <w:name w:val="annotation reference"/>
    <w:basedOn w:val="DefaultParagraphFont"/>
    <w:uiPriority w:val="99"/>
    <w:semiHidden/>
    <w:unhideWhenUsed/>
    <w:rsid w:val="002A6B77"/>
    <w:rPr>
      <w:sz w:val="16"/>
      <w:szCs w:val="16"/>
    </w:rPr>
  </w:style>
  <w:style w:type="paragraph" w:styleId="CommentText">
    <w:name w:val="annotation text"/>
    <w:basedOn w:val="Normal"/>
    <w:link w:val="CommentTextChar"/>
    <w:uiPriority w:val="99"/>
    <w:unhideWhenUsed/>
    <w:rsid w:val="002A6B77"/>
    <w:rPr>
      <w:sz w:val="20"/>
      <w:szCs w:val="20"/>
    </w:rPr>
  </w:style>
  <w:style w:type="character" w:customStyle="1" w:styleId="CommentTextChar">
    <w:name w:val="Comment Text Char"/>
    <w:basedOn w:val="DefaultParagraphFont"/>
    <w:link w:val="CommentText"/>
    <w:uiPriority w:val="99"/>
    <w:rsid w:val="002A6B77"/>
    <w:rPr>
      <w:rFonts w:ascii="Times New Roman" w:eastAsia="Times New Roman" w:hAnsi="Times New Roman" w:cs="Times New Roman"/>
      <w:kern w:val="0"/>
      <w:sz w:val="20"/>
      <w:szCs w:val="20"/>
      <w:lang w:val="bs-Latn-BA" w:eastAsia="en-GB"/>
      <w14:ligatures w14:val="none"/>
    </w:rPr>
  </w:style>
  <w:style w:type="paragraph" w:styleId="CommentSubject">
    <w:name w:val="annotation subject"/>
    <w:basedOn w:val="CommentText"/>
    <w:next w:val="CommentText"/>
    <w:link w:val="CommentSubjectChar"/>
    <w:uiPriority w:val="99"/>
    <w:semiHidden/>
    <w:unhideWhenUsed/>
    <w:rsid w:val="002A6B77"/>
    <w:rPr>
      <w:b/>
      <w:bCs/>
    </w:rPr>
  </w:style>
  <w:style w:type="character" w:customStyle="1" w:styleId="CommentSubjectChar">
    <w:name w:val="Comment Subject Char"/>
    <w:basedOn w:val="CommentTextChar"/>
    <w:link w:val="CommentSubject"/>
    <w:uiPriority w:val="99"/>
    <w:semiHidden/>
    <w:rsid w:val="002A6B77"/>
    <w:rPr>
      <w:rFonts w:ascii="Times New Roman" w:eastAsia="Times New Roman" w:hAnsi="Times New Roman" w:cs="Times New Roman"/>
      <w:b/>
      <w:bCs/>
      <w:kern w:val="0"/>
      <w:sz w:val="20"/>
      <w:szCs w:val="20"/>
      <w:lang w:val="bs-Latn-B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65E2F220C44BFBAF4DDF84CBE17A14"/>
        <w:category>
          <w:name w:val="General"/>
          <w:gallery w:val="placeholder"/>
        </w:category>
        <w:types>
          <w:type w:val="bbPlcHdr"/>
        </w:types>
        <w:behaviors>
          <w:behavior w:val="content"/>
        </w:behaviors>
        <w:guid w:val="{17644C4F-1570-4A17-B805-B76DBD7C3179}"/>
      </w:docPartPr>
      <w:docPartBody>
        <w:p w:rsidR="00693967" w:rsidRDefault="004D6348" w:rsidP="004D6348">
          <w:pPr>
            <w:pStyle w:val="3B65E2F220C44BFBAF4DDF84CBE17A14"/>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48"/>
    <w:rsid w:val="00142E92"/>
    <w:rsid w:val="001459DE"/>
    <w:rsid w:val="00214854"/>
    <w:rsid w:val="0021729F"/>
    <w:rsid w:val="004D6348"/>
    <w:rsid w:val="00533A6F"/>
    <w:rsid w:val="0068745F"/>
    <w:rsid w:val="00693967"/>
    <w:rsid w:val="00B66C8B"/>
    <w:rsid w:val="00C3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65E2F220C44BFBAF4DDF84CBE17A14">
    <w:name w:val="3B65E2F220C44BFBAF4DDF84CBE17A14"/>
    <w:rsid w:val="004D6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E12B9B894F7944A6BF429126765483" ma:contentTypeVersion="13" ma:contentTypeDescription="Create a new document." ma:contentTypeScope="" ma:versionID="adc49e5116add7d3ba1cd14e0096f9c9">
  <xsd:schema xmlns:xsd="http://www.w3.org/2001/XMLSchema" xmlns:xs="http://www.w3.org/2001/XMLSchema" xmlns:p="http://schemas.microsoft.com/office/2006/metadata/properties" xmlns:ns2="de777af5-75c5-4059-8842-b3ca2d118c77" xmlns:ns3="5bd43279-144f-46c9-a102-a1ec612402e8" targetNamespace="http://schemas.microsoft.com/office/2006/metadata/properties" ma:root="true" ma:fieldsID="fb9c7e825744f425a21e99741df18e60" ns2:_="" ns3:_="">
    <xsd:import namespace="de777af5-75c5-4059-8842-b3ca2d118c77"/>
    <xsd:import namespace="5bd43279-144f-46c9-a102-a1ec612402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43279-144f-46c9-a102-a1ec612402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43279-144f-46c9-a102-a1ec612402e8">
      <Terms xmlns="http://schemas.microsoft.com/office/infopath/2007/PartnerControls"/>
    </lcf76f155ced4ddcb4097134ff3c332f>
    <TaxCatchAll xmlns="de777af5-75c5-4059-8842-b3ca2d118c77" xsi:nil="true"/>
    <_dlc_DocId xmlns="de777af5-75c5-4059-8842-b3ca2d118c77">32JKWRRJAUXM-1041383857-24696</_dlc_DocId>
    <_dlc_DocIdUrl xmlns="de777af5-75c5-4059-8842-b3ca2d118c77">
      <Url>https://undp.sharepoint.com/teams/BIH/ReLOAD3/_layouts/15/DocIdRedir.aspx?ID=32JKWRRJAUXM-1041383857-24696</Url>
      <Description>32JKWRRJAUXM-1041383857-24696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9E9513-7F48-41A7-AB3F-F66638F2752B}">
  <ds:schemaRefs>
    <ds:schemaRef ds:uri="http://schemas.openxmlformats.org/officeDocument/2006/bibliography"/>
  </ds:schemaRefs>
</ds:datastoreItem>
</file>

<file path=customXml/itemProps2.xml><?xml version="1.0" encoding="utf-8"?>
<ds:datastoreItem xmlns:ds="http://schemas.openxmlformats.org/officeDocument/2006/customXml" ds:itemID="{0597CC5B-1360-42E8-A028-7DF0DEAEA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5bd43279-144f-46c9-a102-a1ec6124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96D0D-4E7C-4BB6-9D73-63333E5F0BDF}">
  <ds:schemaRefs>
    <ds:schemaRef ds:uri="http://schemas.microsoft.com/office/2006/metadata/properties"/>
    <ds:schemaRef ds:uri="http://schemas.microsoft.com/office/infopath/2007/PartnerControls"/>
    <ds:schemaRef ds:uri="5bd43279-144f-46c9-a102-a1ec612402e8"/>
    <ds:schemaRef ds:uri="de777af5-75c5-4059-8842-b3ca2d118c77"/>
  </ds:schemaRefs>
</ds:datastoreItem>
</file>

<file path=customXml/itemProps4.xml><?xml version="1.0" encoding="utf-8"?>
<ds:datastoreItem xmlns:ds="http://schemas.openxmlformats.org/officeDocument/2006/customXml" ds:itemID="{6F56D9EB-AB42-4931-B777-A26B19C6F874}">
  <ds:schemaRefs>
    <ds:schemaRef ds:uri="http://schemas.microsoft.com/sharepoint/v3/contenttype/forms"/>
  </ds:schemaRefs>
</ds:datastoreItem>
</file>

<file path=customXml/itemProps5.xml><?xml version="1.0" encoding="utf-8"?>
<ds:datastoreItem xmlns:ds="http://schemas.openxmlformats.org/officeDocument/2006/customXml" ds:itemID="{C21E032D-05EF-4FF1-8960-39C08E9661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UPUTSTVO ZA PRAĆENJE PROVEDBE PROJEKATA I EVALUACIJU</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PRAĆENJE PROVEDBE PROJEKATA I EVALUACIJU</dc:title>
  <dc:subject/>
  <dc:creator>Lejla Šipur</dc:creator>
  <cp:keywords/>
  <dc:description/>
  <cp:lastModifiedBy>Lejla Šipur</cp:lastModifiedBy>
  <cp:revision>4</cp:revision>
  <dcterms:created xsi:type="dcterms:W3CDTF">2026-05-08T07:38:00Z</dcterms:created>
  <dcterms:modified xsi:type="dcterms:W3CDTF">2026-05-08T08:32:00Z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0x010100F8E12B9B894F7944A6BF429126765483</vt:lpwstr>
  </property>
  <property fmtid="{D5CDD505-2E9C-101B-9397-08002B2CF9AE}" pid="3" name="_dlc_DocIdItemGuid">
    <vt:lpwstr>a2d2abb2-b388-47c0-8e1e-0793fa743482</vt:lpwstr>
  </property>
  <property fmtid="{D5CDD505-2E9C-101B-9397-08002B2CF9AE}" pid="4" name="MediaServiceImageTags">
    <vt:lpwstr/>
  </property>
</Properties>
</file>